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06/05/1982</w:t>
      </w:r>
    </w:p>
    <w:p/>
    <w:p>
      <w:r>
        <w:t xml:space="preserve">PRÁTICA POR INTEGRANTE DE POLICIA MILITAR — QUANDO SE FIRMA 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julgamento dos RHC 56.049, RTJ 87/47, e RHC 56.275, RTJ 87/460, e bem assim em julgamentos posteriores, o Supremo Tribunal Federal deixou explícito que ocorre a competência da Justiça Militar para o processo e julgamento dos crimes praticados, por policiais militares dos Estados, no exercício de função policial civil, somente quando se trata de crimes militares definidos em lei como tais. - Se, no exercício de função policial civil, o miliciano pratica crime militar, será competente a Justiça Militar; se pratica crime comum, será competente a Justiça Comum. - Insidiosa que seja, na prática, a distinção, ela não se faz duvidosa no presente caso, em que os crimes atribuídos aos recorridos não têm exata correspondência na lei penal militar. - Isto posto, conheço do recurso e lhe deu provimento, para reconhecer a competência da Justiça Comum. - É o meu voto. Julgado em 07-05-1982 Revista Trimestral de Jurisprudência. Setembro, 1982 - Vol. 101 - Pág. 1.300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crimes praticados por policiais militares, previstos na legislação penal comum, são da competência da Justiça Comum e não da Justiça Militar.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2026-10-26T02:19:57.904Z</dcterms:created>
  <dcterms:modified xsi:type="dcterms:W3CDTF">2026-10-26T02:19:57.904Z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