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INTIMAÇÃO DA PARTE</w:t>
      </w:r>
    </w:p>
    <w:p/>
    <w:p>
      <w:r>
        <w:rPr>
          <w:b/>
          <w:bCs/>
        </w:rPr>
        <w:t xml:space="preserve">Julgado em: </w:t>
      </w:r>
      <w:r>
        <w:t xml:space="preserve">03/03/1982</w:t>
      </w:r>
    </w:p>
    <w:p/>
    <w:p>
      <w:r>
        <w:t xml:space="preserve">DESPACHO QUE DETERMINA SUA FORMAÇÃO — REVOGAÇÃO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fato de o Juiz haver determinado a formação do instrumento não importa o prosseguimento obrigatório do recurso, mesmo que ele perceba, posteriormente, ser o mesmo incabível ou intempestivo. Podia ser tornado sem efeito tal despacho, como o foi pela Dra. Juíza. Não se pode equiparar um recurso no sentido estrito a uma apelação, nem se pode comparar o despacho de indeferimento de uma diligência com uma sentença que julga o mérito. - Agiu acertadamente a Dra. Juíza em negar seguimento ao recurso que, realmente, nenhuma base legal tinha. - Daí o indeferimento do presente pedido. Julgado em 04-03-1982 Arquivo do Ementário Forense, TJ/1.115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ser tornado sem efeito o despacho que determina a formação de instrumento, em caso de recurso em sentido estrito, se o juiz, posteriormente, percebe que nenhum amparo legal tem o recurso manifestado.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2026-10-26T04:58:54.456Z</dcterms:created>
  <dcterms:modified xsi:type="dcterms:W3CDTF">2026-10-26T04:58:54.456Z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