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INTIMAÇÃO DA PARTE</w:t>
      </w:r>
    </w:p>
    <w:p/>
    <w:p>
      <w:r>
        <w:rPr>
          <w:b/>
          <w:bCs/>
        </w:rPr>
        <w:t xml:space="preserve">Julgado em: </w:t>
      </w:r>
      <w:r>
        <w:t xml:space="preserve">03/03/1982</w:t>
      </w:r>
    </w:p>
    <w:p/>
    <w:p>
      <w:r>
        <w:t xml:space="preserve">DESPACHO QUE DETERMINA SUA FORMAÇÃO — REVOGAÇÃO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de o Juiz haver determinado a formação do instrumento não importa o prosseguimento obrigatório do recurso, mesmo que ele perceba, posteriormente, ser o mesmo incabível ou intempestivo. Podia ser tornado sem efeito tal despacho, como o foi pela Dra. Juíza. Não se pode equiparar um recurso no sentido estrito a uma apelação, nem se pode comparar o despacho de indeferimento de uma diligência com uma sentença que julga o mérito. - Agiu acertadamente a Dra. Juíza em negar seguimento ao recurso que, realmente, nenhuma base legal tinha. - Daí o indeferimento do presente pedido. Julgado em 04-03-1982 Arquivo do Ementário Forense, TJ/1.115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ser tornado sem efeito o despacho que determina a formação de instrumento, em caso de recurso em sentido estrito, se o juiz, posteriormente, percebe que nenhum amparo legal tem o recurso manifestado.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2026-07-28T02:33:43.914Z</dcterms:created>
  <dcterms:modified xsi:type="dcterms:W3CDTF">2026-07-28T02:33:43.914Z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