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/>
    <w:p>
      <w:r>
        <w:t xml:space="preserve">CRIME DE PERIGO COMUM E CONCRETO — QUANDO APENAS SE CARACTERIZA O CRIME DE DANO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ver-se, porém, que o incêndio, capitulado entre os crimes contra a incolumidade pública, só se caracteriza diante da existência de perigo comum. - Mas, no caso, em face das circunstâncias apuradas, é possível admitir a inocorrência de semelhante perigo, conquanto o fato se tenha passado em dependência de um dos apartamentos de prédio residencial de dois andares com quatro unidades por andar (...). É que o fogo abrangeu, somente, uma área de três metros quadrados (...), sendo prontamente debelado com umas latas d'água e mangueira (...). Na instrução, uma testemunha esclarece que «o imóvel nada sofreu com o incêndio, apenas o teto ficou escurecido com a fumaça» (...); e outra testemunha confirma que «o apartamento em si não sofreu em conseqüência do fogo» (...). De se considerar, por outra lado, ter a perícia verificado que os escombros eram constituídos, simplesmente, de móveis de dormitório, roupas de cama e de vestir, persiana, banqueta e lustre (...). - Portanto, o fato do réu ter ateado fogo aos objetos pertencentes à sua amásia, no interior daquele quarto, com a intenção de destruí-los e de causar prejuízo a ela, o que caracteriza, na espécie, é o delito de dano, qualificado pelo meio empregado e capitulado entre os crimes contra o patrimônio. - Assim é que se desclassifica a infração em causa para o art. 163, parágrafo único, II, do Código Penal, fixando a respectiva pena em 1 (um) ano de detenção e Cr$ 1.000,00 (hum mil cruzeiros) de multa, pena cuja prescrição é, igualmente, reconhecida, diante do tempo decorrido desde a data do recebim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incêndio, capitulado entre os crimes contra a incolumidade pública, só se configura diante da existência de perigo comum. - Quando tal não acontece, o fato de atear fogo em objetos, no interior de um quarto, com a intenção de destruí-los e de causar prejuízo a alguém, caracteriza o dano, capitulado entre os crimes contra o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2026-07-27T23:32:09.344Z</dcterms:created>
  <dcterms:modified xsi:type="dcterms:W3CDTF">2026-07-27T23:32:09.344Z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