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>
      <w:r>
        <w:rPr>
          <w:b/>
          <w:bCs/>
        </w:rPr>
        <w:t xml:space="preserve">Julgado em: </w:t>
      </w:r>
      <w:r>
        <w:t xml:space="preserve">16/12/1981</w:t>
      </w:r>
    </w:p>
    <w:p/>
    <w:p>
      <w:r>
        <w:t xml:space="preserve">SE DELE DEPENDE O OFERECIMENTO DA DENÚNCIA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ilustrada Procuradoria-Geral da República bem anotou, no particular: "Incensurável o v. acórdão recorrido. Inaplicável, aqui, o art. 525 do Código de Processo Penal, já que este diz respeito exclusivamente ao rito procedimental relativo aos crimes contra a propriedade imaterial. E é cediça a lição de que o laudo pericial pode ser oferecido até a prolação da sentença. Assim tem decidido esse Colendo Supremo Tribunal Federal, bastando que se cite, a título exemplificativo, a decisão proferida no RHC 52.401, Relator, o senhor Ministro THOMPSON FLORES (DJU 08-08-74, pág. 5.387)". - No RHC nº 52.401-GB, a Colenda 2ª Turma, nessa linha de entendimento, decidiu, em acórdão assim ementado: "Recurso de "Habeas Corpus". Crime do art. 281 do Código Penal. Ausência de perícia. Nulidade inexistente, eis que o laudo pode ser oferecido até a prolação da sentença. Recurso não provido." - Negaram provimento ao recurso de "habeas corpus". Julgado em 17-12-1981 Revista Trimestral de Jurisprudência. Agosto, 1981 - Vol. 101 - Pág. 609 EMFOR 411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Inaplicabilidade do art. 525 do Código de Processo Penal. - A denúncia pode ser oferecida sem o auto de exame de corpo de delito. Podendo o laudo pericial ser apresentado ao longo da instrução do feito.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2026-10-26T02:37:17.611Z</dcterms:created>
  <dcterms:modified xsi:type="dcterms:W3CDTF">2026-10-26T02:37:17.611Z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