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04/02/1982</w:t>
      </w:r>
    </w:p>
    <w:p/>
    <w:p>
      <w:r>
        <w:t xml:space="preserve">CONVENIÊNCIA DA INSTRUÇÃO CRIMINAL — QUANDO SE CONSIDERA COM BASE NESTA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Recorrendo o paciente ao Supremo Tribunal Federal, manifesta-se pelo improvimento da súplica do Sub-Procurador-Geral Prof. FRANCISCO DE ASSIS TOLEDO, "verbis": " O despacho de prisão preventiva, exibido por cópia ..., refere-se a três indiciados contra os quais, ao ver o juiz, pesavam prova da materialidade do delito de furto de 57 cabeças de gado e veementes indícios da autoria. Fundamentou o magistrado a medida cautelar na necessidade de outras diligências que poderiam ficar prejudicadas com a atuação livre dos indiciados na região (refere-se o despacho, com evidente impropriedade terminológica, à "presença dos indiciados no distrito da culpa"). Sendo esse o fundamento do ato ora impugnado, que se ampara no art. 311 e 312 do CPP (conveniência da instrução criminal), parece-nos que as alegações da inicial não o infirmam, pois não se demonstrou que, à data do julgamento, cessados estavam os motivos apontados pelo juiz. E, por outro lado, não se pode negar que, nessa hipótese, a primariedade, ou a posse de bens, ou a situação familiar, não impede a decretação da preventiva, dentro de um prudente arbítrio do juiz, "quando outras circunstâncias a recomendam" (RTJ 98/141). Por essas razões somos pelo improvimento" (...). - É o relatório. DO VOTO - Quando certa modalidade criminal se transforma, pela freqüência e impunidade de sua prática, em calamidade social, é justo reconhecer que os critérios de sua repressão, naquilo em que a lei confere ao Juiz certa discrição, possam admitir mais acentuado rigor. - A esta luz, prevalecem as razões que informam as duas decisões sob apreciação, as do Juiz, temendo a afastamento do indiciado do a lcance da autoridade judiciária, conhecida a extraordinária capacidade de movimentação nos ladrões de gado; as do Tribunal, acentuando a freqüência calamitosa da prática criminal imputada ao paciente e recorrente, a exigir providências mais severas do que aquelas que se vêm mostrando incapazes de conjurar o mal. - Dentro desta perspectiva nego provimento ao recurso. - É o meu voto. Julgado em 05-02-1982 Revista Trimestral de Jurisprudência. Julho, 1982 - Vol. 101 - Pág. 178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justo admitir maior rigor no critério da decretação da prisão preventiva, quando a modalidade criminosa se venha beneficiando da liberdade concedida aos seus autores, na fase da instrução criminal.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2026-07-27T23:53:19.169Z</dcterms:created>
  <dcterms:modified xsi:type="dcterms:W3CDTF">2026-07-27T23:53:19.169Z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