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REGIONAL FEDERAL - 2ª R</w:t>
      </w:r>
    </w:p>
    <w:p>
      <w:r>
        <w:rPr>
          <w:i/>
          <w:iCs/>
          <w:color w:val="666666"/>
        </w:rPr>
        <w:t xml:space="preserve">CRIME CONTRA A ADM DA JUSTIÇA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— QUANDO NÃO INDUZ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induz nulidade a realização de julgamento de "habeas corpus", sem sustentação oral, apesar do pedido de adiantamento, se um dos procuradores do paciente encontra-se presente ao ato. De outro lado, a par do enunciado da Súmula 431, do Supremo Tribunal Federal colocar a salvo o julgamento de "habeas corpus" sem prévia intimação ou publicação da pauta e, consequentemente, sem a produção de sustentação oral, o entendimento pretoriano, ministrando a inteligência do art. 664 do Código de Processo Penal, destaca o caráter facultativo daquele meio de defesa e afasta a eventual arguição de nulidade quando o defensor, mesmo no caso de força maior, deixa de comparecer. Ac. de 12-12-2000 DJ de 19-03-2001 (Reg. nº 2000/0089822-8) Arquivo do EMFOR, STJ/N 4.023 EMENTÁRIO FORENSE. Fevereiro, 2002. Ano LIV. Nº 639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2026-07-28T00:00:29.457Z</dcterms:created>
  <dcterms:modified xsi:type="dcterms:W3CDTF">2026-07-28T00:00:29.457Z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