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Julgado em: </w:t>
      </w:r>
      <w:r>
        <w:t xml:space="preserve">18/11/1980</w:t>
      </w:r>
    </w:p>
    <w:p/>
    <w:p>
      <w:r>
        <w:t xml:space="preserve">VERIFICAÇÃO DA INAPLICABILIDADE — QUANDO NÃO ENSEJA 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 não invocado, expressamente, o exato suporte legal em que se afirma o pedido revisional, aliás de necessária definição dadas as estritas vias de sua admissibilidade, cuido não seja infiel à postulação de submetê-la ao crivo do art. 621, I, do CPP, que tem réplica de maior amplitude no art. 245, III, d, do Regimento Interno. Enquanto naquele se admite a revisão dos processos criminais findos quando a sentença condenatória for contrária ao texto expresso da lei penal ou à evidência dos autos, no preceito regimental se contém, entre outras expressões acrescidas, a relativa à decisão condenatória que tiver incidido em erro no tocante à aplicação da pena ou medida de segurança. - As colocações da inicial os dados do processo não permitem a adequação do pedido a outras causas legais permissivas da revisão. - Entretanto, visto sob os ângulos em que se põe o pedido, a revisão não apresenta viabilidade. - Com efeito, não há cogitar que o venerável acórdão revisando tenha contrariado o texto expresso da lei penal mencionada no pedido, isto é, o art. 51, § 2º do Código Penal, definidor do crime continuado. Para que se verifique tal hipótese é necessário uma contestação, uma negativa ou uma desaplicação do preceito que importe realmente em sua desenganada infringência, tal como ocorre, por exemplo, na ação rescisória, no que toca à ofensa à literal disposição de lei. - As linhas variáveis de interpretação que se comportam no marco do possível lógico não podem ser levadas à conta de contrariedade à expressão legal. "Não se ajusta a esse conceito a simples interp retação salvo quando por absurdeza e violência importe no efeito acima referido". - como diz ESPÍNOLA FILHO, citando a lição de BENTO DE FARIA (in "Cód. de Proc. Pen. Bras." VI/29-30). Assim também em perfeita síntese, o ilustre processualista MAGALHÃES NORONHA: " Contrária ao texto expresso da lei é a sentença que nega sua existência ou realidade, ou não o aplica somente a própria lei estabelece. Tal não ocorre com a interpretação, desde que ela, com desprezo das regras indeclináveis de hermenêutica, não leve àquele resultado" (in, "Curso de DPP", 383-384). - Diante desse entendimento, cuja aplicabilidade em tema correspondente da rescisória resultou na Súmula 343 (*), não há de admitir-se como fundamento bastante para a revisão, sob color de ofensa ao art. 51, § 2º do Código Penal, a modificação jurisprudencial verificada, nesta Corte, na aplicação desse dispositivo no que diz com a abrangência dos crimes de roubo em que ocorrente a lesão de bens personalíssimos de sujeitos passivos distintos. - Ademais, como se vê da transcrição no relatório, o venerável acórdão revisando analisou complexas e múltiplas circunstâncias para afirmar que, no caso, "o crime subseqüente não se apresenta como continuação do primeiro", e que "na verdade, há uma pluralidade de infrações, importando em concurso material de crimes". E assim, nem mesmo a aplicação de determinado módulo interpretativo, preconizado no pedido, importaria em assegurar de modo absoluto, o reconhecimento do atributo de continuidade aos dois crimes praticados pelo Requerente, pois tal não resultaria, necessária e automaticamente, da simples aceitação da tese de que pode haver crime continuado em casos de roubo, ainda quando atingidos bens personalíssimos de vítimas diferentes. - Pelo exposto, julgo improcedente a revisão. Julgado em 19-11-1980 VOTO VENCIDO DO MINISTRO LEITÃO DE ABREU: - Trata-se de caso análogo aos das demais revisões, que tenho proced entes. Reporto-me, assim, aos votos que proferi no julgamento dos pedidos formulados nas Revisões Criminais nºs 4.609, 4.592, 4.616 e 4.618, para deferir, também no presente caso, o pedido. Não descaracteriza, a meu ver, a continuidade delitiva haver contado o requerente num dos crimes, com a colaboração de co-réu distinto. O fato de ter um dos delitos sidos praticados em parceria com o outro co-réu não torna diversa, por si só, a maneira de execução, porquanto, com este ou com aquele co-réu, o modo de execução permaneceu o mesmo, isto é, com a colaboração de outrem. Configurada, pois, no caso, a continuidade delitiva, a decisão, que denegou a unificação das penas, ofendeu o disposto no § 2º, do art. 51, do Código Penal. Afirma-se, contudo, que as condições de tempo, lugar e maneira de execução foram apreciadas de modo impróprio ou errôneo pelo acórdão do Tribunal paulista, de cuja decisão se recorreu extraordinariamente. Entendo, porém, que essa apreciação se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admitir como fundamento bastante para a revisão, sob color de ofensa ao art. 51, § 2º, do Código Penal, a modificação verificada neste Tribunal na aplicação desse dispositivo no que se refere à abrangência dos crimes de roubo em que ocorrente a lesão de bens personalíssimos de sujeitos passivos distintos.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2026-10-26T04:13:39.836Z</dcterms:created>
  <dcterms:modified xsi:type="dcterms:W3CDTF">2026-10-26T04:13:39.836Z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