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QUEIXA-CRIME</w:t>
      </w:r>
    </w:p>
    <w:p/>
    <w:p/>
    <w:p>
      <w:r>
        <w:t xml:space="preserve">INDEPENDÊNCIA DOS CRIMES NELA PRATICADOS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há, em tese, incompatibilidade entre os crimes de quadrilha e receptação: a receptação exige o crime anterior e um produto (objeto material), precisamente o que a quadrilha, pelos elementos que se associaram, lhe fornece. O receptador completa a atuação da quadrilha. V., tb., t. RECEPTAÇÃO, st. CONCEITUAÇÃO EMFOR 415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2026-07-28T00:16:26.034Z</dcterms:created>
  <dcterms:modified xsi:type="dcterms:W3CDTF">2026-07-28T00:16:26.034Z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