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Julgado em: </w:t>
      </w:r>
      <w:r>
        <w:t xml:space="preserve">23/03/1981</w:t>
      </w:r>
    </w:p>
    <w:p/>
    <w:p>
      <w:r>
        <w:t xml:space="preserve">CASO EM QUE NÃO HÁ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referente ao que alega o impetrante quanto à citação por edital, é de se lhe contestar com a jurisprudência que o firmou no sentido de que não anula o processo o fato de a citação por edital haver sido feita ao réu preso noutro Estado que não o do Juiz do processo. - É argumento que se extrai da razão contrária do que expressa o verbete 351 da Súmula, redigido assim: ''É nula a citação por edital de réu preso na mesma unidade da Federação em que o Juiz exerce a sua jurisdição''.' - Nego a medida. Julgado em 24-03-1981 Revista Trimestral de Jurisprudência. Outubro, 1981 - Vol. 98 - Pág. 125 EMFOR 404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anula o processo criminal o fato de a citação haver sido feita por edital no caso em que o réu se achava preso noutro Estado que não o do juiz do processo. É argumento que se extrai da razão contrária do que expressa o verbete 351 da Súmula.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2026-07-28T00:03:44.636Z</dcterms:created>
  <dcterms:modified xsi:type="dcterms:W3CDTF">2026-07-28T00:03:44.636Z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