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17/06/1980</w:t>
      </w:r>
    </w:p>
    <w:p/>
    <w:p>
      <w:r>
        <w:t xml:space="preserve">MODIFICAÇÃO DO ENTENDIMENTO JURISPRUDENCIAL NA APLICAÇÃO DE DISPOSITIVO LEGAL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cogitar que o venerável acórdão revisando tenha contrariado o texto expresso da lei penal mencionada no pedido, isto é, o art. 51, § 2º do Código Penal, definidor do crime continuado. Para que se verifique tal hipótese é necessário uma contestação, uma negativa ou uma desaplicação do preceito que importe realmente em sua desenganada infringência, tal como ocorre, por exemplo, na ação rescisória, no que toca à ofensa à literal disposição de lei. - As linhas variáveis de interpretação que se comportam no marco do possível lógico não podem ser levadas à conta de contrariedade à expressão legal. "Não se ajusta a esse conceito a simples interpretação, salvo quando por absurdeza e violência importe no efeito acima referido", - como diz ESPÍNOLA FILHO, citando a lição de BENTO DE FARIA (in "Cód. de Proc. Penal Bras." VI/29-30). Assim também, em perfeita síntese, o ilustre processualista MAGALHÃES NORONHA: "Contrária ao texto expresso da lei é a sentença que nega sua existência ou realidade, ou não aplica consoante a própria lei estabelece. Tal não ocorre, desde que ela, com desprezo das regras indeclináveis de hermenêutica, não leve àquele resultado" (in "Curso de DPP", 383/384). - Diante desse entendimento, cuja aplicabilidade em tema correspondente da rescisória resultou na Súmula 343 (*), não há de admitir-se como fundamento bastante para a revisão sob color de ofensa ao art. 51, § 2º do Código Penal, a modificação jurisprudencial verificada, nesta Corte, na aplicação desse dispositivo, no que diz com a abrangência dos crimes de roubo em que ocorrente a lesão de bens personalíssimos de sujeitos passivos distintos. - Ademais, como se vê da transcrição no relatório o venerável acórdão revisando analisou complexas e múltiplas circunstâncias para afirmar que, no caso, "o crime subseqüente não se apresente como continuação do primeiro", e que "na verdade, há uma pluralidade de infrações, importando em concurso material de crime". E assim, nem mesmo a aplicação determinado módulo interpretativo, preconizado no pedido, importaria em assegurar, de modo absoluto, o reconhecimento do atributo de continuidade aos dois crimes praticados pelo Requerente, pois tal não resultaria, necessária e automaticamente, da simples aceitação da tese de que pode haver crime continuado em casos de roubo, ainda quando atingidos bens personalíssimos de vítimas diferentes. - Pelo exposto, julgo improcedente a revisão. Julgado em 18-06-1980 Revista Trimestral de Jurisprudência. Janeiro, 1982 - Vol. 99 - Pág. 35 (*) "Não cabe ação rescisória por ofensa a literal disposição de Lei, quando a decisão rescindida se tiver baseado em texto legal de interpretação controvertida nos tribunais"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admitir como fundamento bastante para a revisão, sob color de ofensa ao art. 51, § 2º, do Código Penal, a modificação verificada neste Tribunal na aplicação desse dispositivo, no que se refere à abrangência dos crimes de roubo em que ocorrente a lesão de bens personalíssimos de sujeitos passivos distintos.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2026-10-26T03:43:02.564Z</dcterms:created>
  <dcterms:modified xsi:type="dcterms:W3CDTF">2026-10-26T03:43:02.564Z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