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/>
    <w:p>
      <w:r>
        <w:t xml:space="preserve">FALTA DE MENÇÃO EXPRESSA DE LEI — OMISSÃO DE FORMALIDADE ESSENCIAL - QUANDO SE DECRETA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falta de menção expressa da lei, ocorre a nulidade quando se omite "formalidade que constitua elemento essencial do ato", o que evidentemente não se confunde com erros de técnicos na elaboração do libelo. - Somente é de reconhecer-se a nulidade do julgamento do Tribunal do Júri, por vício dos quesitos, quando estes não permitam se conheça a vontade dos jurados. V. o t. JÚRI - st. QUESITOS EMFOR 397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2026-10-26T03:09:59.115Z</dcterms:created>
  <dcterms:modified xsi:type="dcterms:W3CDTF">2026-10-26T03:09:59.115Z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