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FALSIDADE DOCUMENTAL E PECULATO</w:t>
      </w:r>
    </w:p>
    <w:p/>
    <w:p/>
    <w:p>
      <w:r>
        <w:t xml:space="preserve">FALTA DE MENÇÃO EXPRESSA DE LEI — OMISSÃO DE FORMALIDADE ESSENCIAL - QUANDO SE DECRETA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falta de menção expressa da lei, ocorre a nulidade quando se omite "formalidade que constitua elemento essencial do ato", o que evidentemente não se confunde com erros de técnicos na elaboração do libelo. - Somente é de reconhecer-se a nulidade do julgamento do Tribunal do Júri, por vício dos quesitos, quando estes não permitam se conheça a vontade dos jurados. V. o t. JÚRI - st. QUESITOS EMFOR 397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2026-07-27T23:59:56.662Z</dcterms:created>
  <dcterms:modified xsi:type="dcterms:W3CDTF">2026-07-27T23:59:56.662Z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