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LIBERDADE PROVISÓRIA</w:t>
      </w:r>
    </w:p>
    <w:p/>
    <w:p/>
    <w:p>
      <w:r>
        <w:t xml:space="preserve">07. Título XIV — Da Citação, da Intimação e da Notificação
       Título XV - Dos Atos Probatórios</w:t>
      </w:r>
    </w:p>
    <w:p/>
    <w:p>
      <w:pPr>
        <w:pStyle w:val="Heading2"/>
      </w:pPr>
      <w:r>
        <w:rPr>
          <w:b/>
          <w:bCs/>
        </w:rPr>
        <w:t xml:space="preserve">Ementa</w:t>
      </w:r>
    </w:p>
    <w:p>
      <w:r>
        <w:t xml:space="preserve">TÍTULO XIV CAPÍTULO ÚNICO DA CITAÇÃO, DA INTIMAÇÃO E DA NOTIFICAÇÃO Formas de citação Art. 277. A citação far-se-á por oficial de justiça: I — mediante mandado, quando o acusado estiver servindo ou residindo na sede do juízo em que se promove a ação penal; II — mediante precatória, quando o acusado estiver servindo ou residindo fora dessa sede, mas no País; III — mediante requisição, nos casos dos arts. 280 e 282; IV — pelo correio, mediante expedição de carta; V — por edital: a) quando o acusado se ocultar ou opuser obstáculo para não ser citado; b) quando estiver asilado em lugar que goze de extraterritorialidade de país estrangeiro; c) quando não fôr encontrado; d) quando estiver em lugar incerto ou não sabido; e) quando incerta a pessoa que tiver de ser citada. Parágrafo único. Nos casos das letras a, c e d, o oficial de justiça, depois de procurar o acusado por duas vêzes, em dias diferentes, certificará, cada vez, a impossibilidade da citação pessoal e o motivo. No caso da letra b, o oficial de justiça certificará qual o lugar em que o acusado está asilado. Requisitos do mandado Art. 278. O mandado, do qual se extrairão tantas duplicatas quantos forem os acusados, para servirem de contrafé, conterá: a) o nome da autoridade judiciária que o expedir; b) o nome do acusado, seu pôsto ou graduação, se militar; seu cargo, se assemelhado ou funcionário de repartição militar, ou, se fôr desconhecido, os seus sinais característicos; c) a transcrição da denúncia, com o rol das testemunhas; d) o lugar, dia e hora em que o acusado deverá comparecer a juízo; e) a assinatura do escrivão e a rubrica da autoridade judiciária. Assinatura do mandado Parágrafo único. Em primeira instância a assinatura do mandado compete ao auditor, e, em ação originária do Superior Tribunal Militar, ao relator do feito. Requisitos da citação do mandado Art. 27 9. São requisitos da citação por mandado: a) a sua leitura ao citando pelo oficial de justiça, e entrega da contrafé; b) declaração do recebimento da contrafé pelo citando, a qual poderá ser feita na primeira via do mandado; c) declaração do oficial de justiça, na certidão, da leitura do mandado. Recusa ou impossibilidade da parte do citando Parágrafo único. Se o citando se recusar a ouvir a leitura do mandado, a receber a contrafé ou a declarar o seu recebimento, o oficial de justiça certificá-lo-á no próprio mandado. Do mesmo modo procederá, se o citando, embora recebendo a contrafé, estiver impossibilitado de o declarar por escrito. Citação a militar Art. 280. A citação a militar em situação de atividade ou a assemelhado far-se-á mediante requisição à autoridade sob cujo comando ou chefia estiver, a fim de que o citando se apresente para ouvir a leitura do mandado e receber a contrafé. Citação a funcionário Art. 281. A citação a funcionário que servir em repartição militar deverá, para se realizar dentro desta, ser precedida de licença do seu diretor ou chefe, a quem se dirigirá o oficial de justiça, antes de cumprir o mandado, na forma do art. 279. Citação a prêso Art. 282. A citação de acusado prêso por ordem de outro juízo ou por motivo de outro processo, far-se-á nos têrmos do art. 279, requisitando-se, por ofício, a apresentação do citando ao oficial de justiça, no recinto da prisão, para o cumprimento do mandado. Requisitos da precatória Art. 283. A precatória de citação indicará: a) o juiz deprecado e o juiz deprecante; b) a sede das respectivas jurisdições; c) o fim para que é feita a citação, com tôdas as especificações; d) o lugar, dia e hora de comparecimento do acusado. Urgência Parágrafo único. Se houver urgência, a precatória, que conterá em resumo os requisitos dêste artigo, poderá ser expedida por via telegráfica, depois de reconhecida a firma do juiz, o que a estação expedidora mencionará. Cumprimento da precatória Art. 284. A precatória será devolvida ao juiz deprecante, independentemente de traslado, depois de lançado o "cumpra-se" e de feita a citação por mandado do juiz deprecado, com os requisitos do art. 279. § 1º Verificado que o citando se encontra em território sujeito à jurisdição de outro juiz, a êste o juiz deprecado remeterá os autos, para efetivação da diligência, desde que haja tempo para se fazer a citação. § 2º Certificada pelo oficial de justiça a existência de qualquer dos casos referidos no nº V, do art. 277, a precatória será imediatamente devolvida, para o fim previsto naquele artigo. Carta citatória Art. 285. Estando o acusado no estrangeiro, mas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2026-07-28T00:04:19.172Z</dcterms:created>
  <dcterms:modified xsi:type="dcterms:W3CDTF">2026-07-28T00:04:19.172Z</dcterms:modified>
</cp:coreProperties>
</file>

<file path=docProps/custom.xml><?xml version="1.0" encoding="utf-8"?>
<Properties xmlns="http://schemas.openxmlformats.org/officeDocument/2006/custom-properties" xmlns:vt="http://schemas.openxmlformats.org/officeDocument/2006/docPropsVTypes"/>
</file>