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PRISÃO PREVENTIVA</w:t>
      </w:r>
    </w:p>
    <w:p>
      <w:r>
        <w:rPr>
          <w:i/>
          <w:iCs/>
          <w:color w:val="666666"/>
        </w:rPr>
        <w:t xml:space="preserve">LIBERDADE PROVISÓRIA</w:t>
      </w:r>
    </w:p>
    <w:p/>
    <w:p/>
    <w:p>
      <w:r>
        <w:t xml:space="preserve">08. Título XV — Dos Atos Probatórios</w:t>
      </w:r>
    </w:p>
    <w:p/>
    <w:p>
      <w:pPr>
        <w:pStyle w:val="Heading2"/>
      </w:pPr>
      <w:r>
        <w:rPr>
          <w:b/>
          <w:bCs/>
        </w:rPr>
        <w:t xml:space="preserve">Ementa</w:t>
      </w:r>
    </w:p>
    <w:p>
      <w:r>
        <w:t xml:space="preserve">Liberdade de apreciação Art. 326. O juiz não ficará adstrito ao laudo, podendo aceitá-lo ou rejeitá-lo, no todo ou em parte. Perícias em lugar sujeito à administração militar ou repartição Art. 327. As perícias, exames ou outras diligências que, para fins probatórios, tenham que ser feitos em quartéis, navios, aeronaves, estabelecimentos ou repartições, militares ou civis, devem ser precedidos de comunicações aos respectivos comandantes, diretores ou chefes, pela autoridade competente. Infração que deixa vestígios Art. 328. Quando a infração deixar vestígios, será indispensável o exame de corpo de delito, direto ou indireto, não podendo supri-lo a confissão do acusado. Corpo de delito indireto Parágrafo único. Não sendo possível o exame de corpo de delito direto, por haverem desaparecido os vestígios da infração, supri-lo-á a prova testemunhal. Oportunidade do exame Art. 329. O exame de corpo de delito poderá ser feito em qualquer dia e a qualquer hora. Exame nos crimes contra a pessoa Art. 330. Os exames que tiverem por fim comprovar a existência de crime contra a pessoa abrangerão: a) exames de lesões corporais; b) exames de sanidade física; c) exames de sanidade mental; d) exames cadavéricos, precedidos ou não de exumação; e) exames de identidade de pessoa; f) exames de laboratório; g) exames de instrumentos que tenham servido à prática do crime. Exame pericial incompleto Art. 331. Em caso de lesões corporais, se o primeiro exame pericial tiver sido incompleto, proceder-se-á a exame complementar, por determinação da autoridade policial militar ou judiciária, de ofício ou a requerimento do indiciado, do Ministério Público, do ofendido ou do acusado. Suprimento de deficiência § 1º No exame complementar, os peritos terão presente o auto de corpo de delito, a fim de suprir-lhe a deficiência ou retificá-lo. Ex ame de sanidade física § 2º Se o exame complementar tiver por fim verificar a sanidade física do ofendido, para efeito da classificação do delito, deverá ser feito logo que decorra o prazo de trinta dias, contado da data do fato delituoso. Suprimento do exame complementar § 3º A falta de exame complementar poderá ser suprida pela prova testemunhal. Realização pelos mesmos peritos § 4º O exame complementar pode ser feito pelos mesmos peritos que procederam ao de corpo de delito. Exame de sanidade mental Art. 332. Os exames de sanidade mental obedecerão, em cada caso, no que fôr aplicável, às normas prescritas no Capítulo II, do Título XII. Autópsia Art. 333. Haverá autópsia: a) quando, por ocasião de ser feito o corpo de delito, os peritos a julgarem necessária; b) quando existirem fundados indícios de que a morte resultou, não da ofensa, mas de causas mórbidas anteriores ou posteriores à infração; c) nos casos de envenenamento. Ocasião da autópsia Art. 334. A autópsia será feita pelo menos seis horas depois do óbito, salvo se os peritos, pela evidência dos sinais da morte, julgarem que possa ser feita antes daquele prazo, o que declararão no auto. Impedimento de médico Parágrafo único. A autópsia não poderá ser feita por médico que haja tratado o morto em sua última doença. Casos de morte violenta Art. 335. Nos casos de morte violenta, bastará o simples exame externo do cadáver, quando não houver infração penal que apurar, ou quando as lesões externas permitirem precisar a causa da morte e não houver necessidade de exame interno, para a verificação de alguma circunstância relevante. Fotografia de cadáver Art. 336. Os cadáveres serão, sempre que possível, fotografados na posição em que forem encontrados. Identidade do cadáver Art. 337. Havendo dúvida sôbre a identidade do cadáver, proce der-se-á ao reconhecimento pelo Instituto de Identificação e Estatística, ou repartição congênere, pela inquirição de testemunhas ou outro meio de direito, lavrando-se auto de reconhecimento e identidade, no qual se descreverá o cadáver, com todos os sinais e indicações. Arrecadação de objetos Parágrafo único. Em qualquer caso, serão arrecadados e autenticados todos os objetos que possam ser úteis para a identificação do cadáver. Exumação Art. 338. Haverá exumação, sempre que esta fôr necessária ao esclarecimento do processo. Designação de dia e hora § 1º A autoridade providenciará para que, em dia e hora prèviamente marcados, se realize a diligência e o exame cadavérico, dos quais se lavrará auto circunstanciado. Indicação de lugar § 2º O administrador do cemitério ou por êle responsável indicará o lugar da sepultura, sob pena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2026-07-28T02:29:41.360Z</dcterms:created>
  <dcterms:modified xsi:type="dcterms:W3CDTF">2026-07-28T02:29:41.360Z</dcterms:modified>
</cp:coreProperties>
</file>

<file path=docProps/custom.xml><?xml version="1.0" encoding="utf-8"?>
<Properties xmlns="http://schemas.openxmlformats.org/officeDocument/2006/custom-properties" xmlns:vt="http://schemas.openxmlformats.org/officeDocument/2006/docPropsVTypes"/>
</file>