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ABUSO DE AUTORIDADE</w:t>
      </w:r>
    </w:p>
    <w:p>
      <w:r>
        <w:rPr>
          <w:i/>
          <w:iCs/>
          <w:color w:val="666666"/>
        </w:rPr>
        <w:t xml:space="preserve">LEI 4.898 DE 09-12-1965</w:t>
      </w:r>
    </w:p>
    <w:p/>
    <w:p/>
    <w:p>
      <w:r>
        <w:t xml:space="preserve">09. LIVRO II — Dos Processos em Espécie
       Título I - Do Processo Ordinário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LIVRO II Dos Processos em Espécie TÍTULO I DO PROCESSO ORDINÁRIO CAPÍTULO ÚNICO DA INSTRUÇÃO CRIMINAL SEÇÃO I Da prioridade de instrução. Da polícia e ordem das sessões. Disposições Gerais Preferência para a instrução criminal Art. 384. Terão preferência para a instrução criminal: a) os processos, a que respondam os acusados prêsos; b) dentre os prêsos, os de prisão mais antiga; c) dentre os acusados soltos e os revéis, os de prioridade de processo. Alteração da preferência Parágrafo único. A ordem de preferência poderá ser alterada por conveniência da justiça ou da ordem militar. Polícia das sessões Art. 385. A polícia e a disciplina das sessões da instrução criminal serão, de acôrdo com o art. 36 e seus §§ 1º e 2º, exercidas pelo presidente do Conselho de Justiça, e pelo auditor, nos demais casos. Conduta da assistência Art. 386. As partes, os escrivães e os espectadores poderão estar sentados durante as sessões. Levantar-se-ão, porém, quando se dirigirem aos juízes ou quando êstes se levantarem para qualquer ato do processo. Prerrogativas Parágrafo único. O representante do Ministério Público e os advogados poderão falar sentados, e êstes terão, no que fôr aplicável, as prerrogativas que lhes assegura o art. 89 da Lei n° 4.215, de 27 de abril de 1963. Publicidade da instrução criminal Art. 387. A instrução criminal será sempre pública, podendo, excepcionalmente, a juízo do Conselho de Justiça, ser secreta a sessão, desde que o exija o interêsse da ordem e disciplina militares, ou a segurança nacional. Sessões fora da sede Art. 388. As sessões e os atos processuais poderão, em caso de necessidade, realizar-se fora da sede da Auditoria, em local especialmente designado pelo auditor, intimadas as partes para êsse fim. Conduta inconveniente do acusado A rt. 389. Se o acusado, durante a sessão, se portar de modo inconveniente, será advertido pelo presidente do Conselho; e, se persistir, poderá ser mandado retirar da sessão, que prosseguirá sem a sua presença, perante, porém, o seu advogado ou curador. Se qualquer dêstes se recusar a permanecer no recinto, o presidente nomeará defensor ou curador ad hoc ao acusado, para funcionar até o fim da sessão. Da mesma forma procederá o auditor, em se tratando de ato da sua competência. Caso de desacato Parágrafo único. No caso de desacato a juiz, ao procurador ou ao escrivão, o presidente do Conselho ou o auditor determinará a lavratura do auto de flagrante delito, que será remetido à autoridade judiciária competente. Prazo para a instrução criminal Art. 390. O prazo para a conclusão da instrução criminal é de cinqüenta dias, estando o acusado prêso, e de noventa, quando sôlto, contados do recebimento da denúncia. Não computação de prazo § 1º Não será computada naqueles prazos a demora determinada por doença do acusado ou defensor, por questão prejudicial ou por outro motivo de fôrça maior justificado pelo auditor, inclusive a inquirição de testemunhas por precatória ou a realização de exames periciais ou outras diligências necessárias à instrução criminal, dentro dos respectivos prazos. Doença do acusado § 2º No caso de doença do acusado, ciente o seu advogado ou curador e o representante do Ministério Público, poderá o Conselho de Justiça ou o auditor, por delegação dêste, transportar-se ao local onde aquêle se encontrar, procedendo aí ao ato da instrução criminal. Doença e ausência do defensor § 3º No caso de doença do defensor, que o impossibilite de comparecer à sede do juízo, comprovada por atestado médico, com a firma de seu signatário devidamente reconhecida, será adiado o ato a que aquêle devia comparecer, salvo se a doença perdurar por mais de dez dias, caso em que lh e será nomeado substituto, se outro defensor não estiver ou não fôr constituído pelo acusado. No caso de ausência do defensor, por outro motivo ou sem justificativa, ser-lhe-á nomeado substituto, para assistência ao ato e funcionamento no processo, enquanto a ausência persistir, ressalvado ao acusado o direito de constituir outro defensor. Prazo para devolução de precatória § 4º Para a devolução de precatória, o auditor marcará prazo razoável, findo o qual, salvo motivo de fôrça maior, a instrução criminal prosseguirá, podendo a parte juntar, posteriormente, a precatória, como documento, nos têrmos dos arts. 378 e 379. Atos procedidos perante o auditor § 5º Salvo o interrogatório do acusado, a acareação nos têrmos do art. 365 e a inquirição de testemunhas, na sede da Auditoria, todos os demais atos da ins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2026-07-28T02:40:12.885Z</dcterms:created>
  <dcterms:modified xsi:type="dcterms:W3CDTF">2026-07-28T02:40:12.885Z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