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Apelação 96.797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ADAUCTO CARDOSO</w:t>
      </w:r>
    </w:p>
    <w:p>
      <w:r>
        <w:rPr>
          <w:b/>
          <w:bCs/>
        </w:rPr>
        <w:t xml:space="preserve">Julgado em: </w:t>
      </w:r>
      <w:r>
        <w:t xml:space="preserve">12/03/1986</w:t>
      </w:r>
    </w:p>
    <w:p/>
    <w:p>
      <w:r>
        <w:t xml:space="preserve">MORTE DO DOADOR — SUBSISTÊNCIA DA VINCULAÇÃO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 assim decidem pelas seguintes razões: 1. A hipótese é a de pedido, feito pelos apelantes, junto à Vara de Registros Públicos de cancelamento dos gravames de inalienabilidade e impenhorabilidade que recaem sobre imóvel que lhes foi doado por seus pais... 2. Sustentam eles que os doadores, que a si reservaram o usufruto do objeto doado, já faleceram, sendo que a 2ª, que sobreviveu ao 1º, ainda em vida desistiu do usufruto, extinto regularmente por decisão de Juiz de Vara Órfãos e Sucessões; que, &lt;&lt;por um lapso&gt;&gt;, à época de tal extinção não foram canceladas as cláusulas de inalienabilidade e impenhorabilidade, o que desejam agora, proprietários e únicos interessados no imóvel, que pretendem vender. 3. A pretensão foi indeferida e o foi, data venia, acertadamente como bem examinado no parecer. 4. A doação foi clausulada, a liberalidade não foi integral e o art. 1.676 do CC estabelece as hipóteses, muito limitadas, em que se admite o reconhecimento da invalidade do gravame: desapropriação ou execução por dívidas provenientes de impostos relativos ao imóvel. 5. Não se pode discutir, no Juízo de Registros Públicos, a interpretação da cláusula da escritura que instituiu o gravame, mas, a fazê-lo, no caso, ela resultaria desfavorável aos Recorrentes, sentindo-se que os doadores pretenderam assegurar aos filhos, enquanto vivos, uma moradia ou uma pequena renda de aluguel, talvez pelo fracasso do casamento da donatária, pelo que expressaram &lt;&lt;que esse imóvel será inalienável e impenhorável a fim de que possa pertencer aos descendentes donatários por morte deles (se na oportunidade houver descendentes)&gt;&gt;. 6. Ora os imóveis já pertenciam, com a doação aos filhos e a referência a &lt;&lt;descendentes&gt;&gt; é significativa. 7. O gravame foi regularmente registrado e não pode ser cancelado pelo simples desejo de quem recebeu um domínio limitado, com o direito de usar, gozar e reivindicar a coisa, mas não dela dispor. 8. Se os Apelantes pretendem vender o bem par adquirir outro como revelam no final de suas razões, o caminho - a sub-rogação do vínculo, sob a fiscalização do M.P. e exame do Juízo próprio, apresentada proposta de simultaneidade das transações e provada a equivalência de valores. 9. Daí, improvê-se o apelo, adotando-se, inclusive, como razões de decidir, as do parecer da lavra do Dr. NICANOR MÉDICI FISCHER, digno Procurador da Justiça. Julgado em 13-03-1986 Arquivo do EMFOR, TJ/1.520 NO MESMO SENTIDO: Apelação nº 96.797, Tr. Just. São Paulo - 1ª C, Relator: Desembargador G. CARMO PINTO, ac. de 09-02-1960; Rec. Extr. nº 63.413, STF, 2ª T., Relator: Ministro ADAUCTO CARDOSO, ac. de 25-09-1969 e Apelação nº 200.939, Tr. Just. São Paulo - 4ª C. Relator: Desembargador MÉDICI FILHO, ac. de 30-09-1971, respectivamente in &lt;&lt;EMENTÁRIO FORENSE&gt;&gt;, Ns. 148, 260 e 289. EMFOR 467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extinção do usufruto instituído em favor dos doadores, não extingue os gravames da inalienabilidade e impenhorabilidade impostos na doação.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2026-06-17T16:28:30.203Z</dcterms:created>
  <dcterms:modified xsi:type="dcterms:W3CDTF">2026-06-17T16:28:30.203Z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