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DIVÓRCIO</w:t>
      </w:r>
    </w:p>
    <w:p>
      <w:r>
        <w:rPr>
          <w:i/>
          <w:iCs/>
          <w:color w:val="666666"/>
        </w:rPr>
        <w:t xml:space="preserve">SEPARAÇÃO JUDICIAL NÃO CONSENSUAL</w:t>
      </w:r>
    </w:p>
    <w:p/>
    <w:p>
      <w:r>
        <w:rPr>
          <w:b/>
          <w:bCs/>
        </w:rPr>
        <w:t xml:space="preserve">Julgado em: </w:t>
      </w:r>
      <w:r>
        <w:t xml:space="preserve">20/08/1985</w:t>
      </w:r>
    </w:p>
    <w:p/>
    <w:p>
      <w:r>
        <w:t xml:space="preserve">DESCUMPRIMENTO DE CONDIÇÃO — ALIENAÇÃO - HIPÓTESE CARACTERIZADA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No mérito, rejeitam-se os embargos. - Trata-se, na hipótese, de doação sob condição, envolvendo esta a de não alienar (cláusula de inalienabilidade) e de fim, obrigando-se, por esta última o donatário a dar ao imóvel destinação já determinada, em benefício das doadoras e no interesse geral (art. 1.180 do C.C). - Ocorre que está provado nos autos, o donatário, ora embargante, descumpriu o encargo, violando a condição imposta ao alienar o bem, titulado o contrato de "cessão de direitos e obrigações" visando à obtenção "do domínio", o que não é senão alienação. - Entende o Embargante que, como não firmou contrato de "compra e venda", por instrumento público como deveria ter feito, não incorreu em descumprimento da cláusula condicional. - Não tem razão. Há contratos onerosos de alienação que não são compra e venda nem troca, como salienta o douto PONTES DE MIRANDA, que a eles dedica capítulo, no vol. 39, ed. 1962 de seu trabalho de Direito Privado. - Mas, na espécie dos autos, há na realidade, no contrato um pré-contrato de compra e venda, envolvendo a alienação do imóvel autorizado o chamado cessionário dos direitos transferidos a "providenciar junto aos poderes competentes ou a quem de direito, o que for preciso e necessário à transferência do domínio para o seu nome", deferida desde logo, a posse precária ao candidato a esse domínio. - Ora, isto é "alienação", com vista à transferência de domínio. - E o que se proíbe na condição imposta, é exatamente, a "alienação", seja qual for a "forma" utilizada pelo donatário... . Julgado em 21-08-1985 Arquivo do EMFOR, TJ/1.428 EMFOR 450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Doação. Descumprida a condição de não alienar, a doação pode ser desconstituída (art. 1.101, parágrafo único do Código Civil).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2026-09-11T00:08:04.658Z</dcterms:created>
  <dcterms:modified xsi:type="dcterms:W3CDTF">2026-09-11T00:08:04.658Z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