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CONCURSO MATERIAL</w:t>
      </w:r>
    </w:p>
    <w:p>
      <w:r>
        <w:rPr>
          <w:i/>
          <w:iCs/>
          <w:color w:val="666666"/>
        </w:rPr>
        <w:t xml:space="preserve">ROUBO E PORTE ILEGAL DE ARMA</w:t>
      </w:r>
    </w:p>
    <w:p/>
    <w:p>
      <w:r>
        <w:rPr>
          <w:b/>
          <w:bCs/>
        </w:rPr>
        <w:t xml:space="preserve">Julgado em: </w:t>
      </w:r>
      <w:r>
        <w:t xml:space="preserve">12/06/1979</w:t>
      </w:r>
    </w:p>
    <w:p/>
    <w:p>
      <w:r>
        <w:t xml:space="preserve">PALAVRAS PROFERIDAS EM MOMENTO DE INDIGNAÇÃO — QUANDO NÃO SE CONFIGURA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Peço "vênia" à ilustrada Procuradoria para discordar do parecer. Entendo que merece reforma a decisão apelada. Em que pese aos doutos argumentos da sentença..., não ficou, pela prova produzida nos autos, caracterizado o crime de ameaça. - ............................................................. - Diz a denúncia que: "Segundo narra a peça informativa, o acusado vem maltratando a sua esposa com palavrões e ameaçando-a constantemente. Eis que,..., após uma cerrada discussão entre os cônjuges, a vítima (filha do casal) foi procurar serenar os ânimos, quando o indiciado, bastante irado, não teve dúvidas em ameaçar a vítima com uma faca, dizendo: "Eu vou te matar", tendo sua mulher avançado contra o acusado tentando desarmá-lo, dizendo: "Está ficando louco,...", tendo o indiciado acatado as palavras de sua esposa, em seguida o agente deixa o local onde se dera o evento" (...). - Sem dúvida, o delito de ameaça é de configuração sutil. NELSON HUNGRIA, em "Comentários ao Código Penal", vol. VI/172 ensina que, para que se caracterize o delito de ameaça, cumpre distinguir entre a ameaça formulada com grave ânimo e a que se profere como simples descarga de um subitâneo acesso de ira. Somente no primeiro caso que se pode identificar o dolo especifico do crime. - A segunda hipótese encontra respaldo nas provas dos autos, porque aqui a ameaça que o réu fez à sua filha... não constituía uma promessa séria e refletida de fazer um mal a ela. - Portanto, não ficando demonstrado que a ameaça do réu apelante provinha de ânimo calmo e refletido mas, sim, de explosão momentânea, em virtude da indignação de que se viu apossado no m omento da discussão em família, não existe infração penal. - Dou, portanto, provimento ao apelo, para, em consequência, absolver o apelante da acusação que lhe fora feita. Julgado em 13-06-1979 Revista dos Tribunais. Setembro, 1979 - Vol. 527 - Pág. 387 EMFOR 391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 art. 147 do Código Penal. - Não ocorre o crime de ameaça se não fica demonstrado que esta provinha de ânimo calmo e refletido mas, tão-somente, em virtude de indignação de que se viu apossado o réu no momento de discussão em família.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2026-10-26T02:51:03.259Z</dcterms:created>
  <dcterms:modified xsi:type="dcterms:W3CDTF">2026-10-26T02:51:03.259Z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