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Julgado em: </w:t>
      </w:r>
      <w:r>
        <w:t xml:space="preserve">12/11/1979</w:t>
      </w:r>
    </w:p>
    <w:p/>
    <w:p>
      <w:r>
        <w:t xml:space="preserve">OFENSA A BENS PERSONALÍSSIMOS COMO A VIDA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Egrégia 2ª Turma, a 18-09-79, sendo relator o eminente Min. DJACI FALCÃO, em caso semelhante decidiu: "Crime continuado. Ocorrência de duplo homicídio, afastando a continuidade delitiva. Re conhecido e provido. Disse então: "Sr. Presidente, o voto de V. Exª vem demonstrar o acerto daqueles que não concordam com o reconhecimento da continuidade nos crimes de roubo. Assim, já que V. Exª nega aos homicidas o que se dá aos ladrões, estou plenamente de acordo, porque não a dou a uns nem a outros." - De fato, não há como admitir-se o benefício da continuidade, também, nos crimes contra a pessoa, nos quais se ofendem bens personalíssimos, como, na hipótese dos autos, a vida, - sob pena de estimular-se a criminalidade. E assim voto. Julgado em 13-11-1979 Revista Trimestral de Jurisprudência. Junho, 1980 - Vol. 92 - Pág. 1352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o reconhecimento do benefício do crime continuado nos crimes consumados ou tentados contra a vida, por ofenderem bens personalíssimos, como, na espécie, a vida; sob pena de estimular-se a criminalidade.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2026-10-26T02:23:57.792Z</dcterms:created>
  <dcterms:modified xsi:type="dcterms:W3CDTF">2026-10-26T02:23:57.792Z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