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FALSIFICAÇÃO DE DOCUMENTO</w:t>
      </w:r>
    </w:p>
    <w:p>
      <w:r>
        <w:rPr>
          <w:i/>
          <w:iCs/>
          <w:color w:val="666666"/>
        </w:rPr>
        <w:t xml:space="preserve">EXAME PERICIAL</w:t>
      </w:r>
    </w:p>
    <w:p/>
    <w:p>
      <w:r>
        <w:rPr>
          <w:b/>
          <w:bCs/>
        </w:rPr>
        <w:t xml:space="preserve">Recurso: </w:t>
      </w:r>
      <w:r>
        <w:t xml:space="preserve">RE 76.645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20/08/1979</w:t>
      </w:r>
    </w:p>
    <w:p/>
    <w:p>
      <w:r>
        <w:t xml:space="preserve">TERMO INICIAL DO PRAZO —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Afastada a medida de segurança por ter o Tribunal de Justiça reconhecido a cessação dos efeitos da reincidência, pelo decurso de prazo, pretende o paciente livrar-se também, do acréscimo de seis meses, imposto em decorrência daquela. - Entretanto a decisão impugnada, ao contar o "dies a quo" do prazo mencionado da data do trânsito em julgado da primeira sentença, ao invés da data do cumprimento ou extinção da pena, não deu a inteligência adequada ao disposto no art. 78, § 1º, do Código Penal (redação da Lei 6.416/77), segundo entendimento reiterado do STF (RE 76.645, RTJ 87/327). - Como bem observa a douta Procuradoria-Geral da República, o paciente, já bastante beneficiado com o equívoco da decisão contra a qual se insurge não pode pretender, através de "habeas corpus", estender seus efeitos para suprimir o acréscimo da pena. - Denego o pedido. Julgado em 21-08-1979 Revista dos Tribunais. Janeiro, 1980 - Vol. 531 - Pág. 421 EMFOR 396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78, § 1º, do Código Penal com a redação da Lei nº 6.416/77. - A Lei 6.416/77 tem como termo inicial do prazo para a cessação dos efeitos da reincidência a data do cumprimento da pena, ou de sua extinção (art. 78 § 1º, do Código Penal).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2026-07-28T03:20:09.862Z</dcterms:created>
  <dcterms:modified xsi:type="dcterms:W3CDTF">2026-07-28T03:20:09.862Z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