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MG</w:t>
      </w:r>
    </w:p>
    <w:p>
      <w:r>
        <w:rPr>
          <w:i/>
          <w:iCs/>
          <w:color w:val="666666"/>
        </w:rPr>
        <w:t xml:space="preserve">ACÓRDÃO NA ÍNTEGRA</w:t>
      </w:r>
    </w:p>
    <w:p/>
    <w:p>
      <w:r>
        <w:rPr>
          <w:b/>
          <w:bCs/>
        </w:rPr>
        <w:t xml:space="preserve">Julgado em: </w:t>
      </w:r>
      <w:r>
        <w:t xml:space="preserve">23/07/1980</w:t>
      </w:r>
    </w:p>
    <w:p/>
    <w:p>
      <w:r>
        <w:t xml:space="preserve">CARACTERIZAÇÃO PELA SIMPLES POTENCIALIDADE DO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Procuradoria-Geral da República, em douto parecer do Procurador ÁLVARO AUGUSTO RIBEIRO COSTA, opina pelo não provimento do recurso, ''verbis'': ''Não merece acolhimento, todavia, a pretensão em causa. Na Suprema Corte, já ficou assentado - acolhida a lição de MAGALHÃES NORONHA - que a caracterização do crime de falso testemunho, ''pela simples potencialidade de dano para a administração da justiça'', consuma-se independentemente do feito ou influência do depoimento na decisão da causa (...). ......................................................................................................................................................... O aresto recorrido, dessarte, tem a seu favor a jurisprudência da Corte Maior.'' - É o relatório. DO VOTO - Os precedentes trazidos à colação ilustre Procurador ÁLVARO AUGUSTO RIBEIRO COSTA mostram que o acórdão recorrido julgou, em consonância ao entendimento desta Corte, no sentido de que o crime de falso testemunho se caracteriza pela simples potencialidade de dano para a administração da Justiça, independente de sua efetividade, ou seja, de seu reflexo ou influência da decisão judicial (RHC 48.676 e 53.330 - RTJ 57/397 e 79/782). Assim, julgado prescrito o crime de lesão corporal culposa, no processo em que os pacientes teriam feito declarações mentirosas beneficiar o Réu, em prejuízo da apuração de verdade e da repressão criminal, não se segue que não se possa apurar e reprimir esse ilícito criminal. - De qualquer modo, a existência de sentença no processo em que se teria verificado o falso testemunho não é uma prejudicial à ação penal persecutória desse crime contra a Administraç ão da Justiça. Apenas o processo-crime constitui pressuposto, com o fato delitivo que emerge do seu contexto, para o seu exercitamento. - Diante dessa premissa, o ''habeas corpus'' passa a significar tão somente uma incomportável indagação probatória. - Nego provimento ao Recurso. Julgado em 24-07-1980 Revista Trimestral de Jurisprudência. Fevereiro, 1981 - Vol. 95 - Pág. 573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falso testemunho se caracteriza pela simples potencialidade de dano para a administração da justiça, não ficando condicionado à decisão judicial condenatória no processo, em que se verificou.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2026-09-10T23:22:01.527Z</dcterms:created>
  <dcterms:modified xsi:type="dcterms:W3CDTF">2026-09-10T23:22:01.527Z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