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>
      <w:r>
        <w:rPr>
          <w:b/>
          <w:bCs/>
        </w:rPr>
        <w:t xml:space="preserve">Julgado em: </w:t>
      </w:r>
      <w:r>
        <w:t xml:space="preserve">23/07/1980</w:t>
      </w:r>
    </w:p>
    <w:p/>
    <w:p>
      <w:r>
        <w:t xml:space="preserve">CARACTERIZAÇÃO PELA SIMPLES POTENCIALIDADE DO DANO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... A Procuradoria-Geral da República, em douto parecer do Procurador ÁLVARO AUGUSTO RIBEIRO COSTA, opina pelo não provimento do recurso, ''verbis'': ''Não merece acolhimento, todavia, a pretensão em causa. Na Suprema Corte, já ficou assentado - acolhida a lição de MAGALHÃES NORONHA - que a caracterização do crime de falso testemunho, ''pela simples potencialidade de dano para a administração da justiça'', consuma-se independentemente do feito ou influência do depoimento na decisão da causa (...). ......................................................................................................................................................... O aresto recorrido, dessarte, tem a seu favor a jurisprudência da Corte Maior.'' - É o relatório. DO VOTO - Os precedentes trazidos à colação ilustre Procurador ÁLVARO AUGUSTO RIBEIRO COSTA mostram que o acórdão recorrido julgou, em consonância ao entendimento desta Corte, no sentido de que o crime de falso testemunho se caracteriza pela simples potencialidade de dano para a administração da Justiça, independente de sua efetividade, ou seja, de seu reflexo ou influência da decisão judicial (RHC 48.676 e 53.330 - RTJ 57/397 e 79/782). Assim, julgado prescrito o crime de lesão corporal culposa, no processo em que os pacientes teriam feito declarações mentirosas beneficiar o Réu, em prejuízo da apuração de verdade e da repressão criminal, não se segue que não se possa apurar e reprimir esse ilícito criminal. - De qualquer modo, a existência de sentença no processo em que se teria verificado o falso testemunho não é uma prejudicial à ação penal persecutória desse crime contra a Administraç ão da Justiça. Apenas o processo-crime constitui pressuposto, com o fato delitivo que emerge do seu contexto, para o seu exercitamento. - Diante dessa premissa, o ''habeas corpus'' passa a significar tão somente uma incomportável indagação probatória. - Nego provimento ao Recurso. Julgado em 24-07-1980 Revista Trimestral de Jurisprudência. Fevereiro, 1981 - Vol. 95 - Pág. 573 EMFOR 393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crime de falso testemunho se caracteriza pela simples potencialidade de dano para a administração da justiça, não ficando condicionado à decisão judicial condenatória no processo, em que se verificou.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2026-06-17T14:11:56.013Z</dcterms:created>
  <dcterms:modified xsi:type="dcterms:W3CDTF">2026-06-17T14:11:56.013Z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