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MG</w:t>
      </w:r>
    </w:p>
    <w:p>
      <w:r>
        <w:rPr>
          <w:i/>
          <w:iCs/>
          <w:color w:val="666666"/>
        </w:rPr>
        <w:t xml:space="preserve">ACÓRDÃO NA ÍNTEGRA</w:t>
      </w:r>
    </w:p>
    <w:p/>
    <w:p>
      <w:r>
        <w:rPr>
          <w:b/>
          <w:bCs/>
        </w:rPr>
        <w:t xml:space="preserve">Julgado em: </w:t>
      </w:r>
      <w:r>
        <w:t xml:space="preserve">03/09/1979</w:t>
      </w:r>
    </w:p>
    <w:p/>
    <w:p>
      <w:r>
        <w:t xml:space="preserve">CONSUMAÇÃO DO HOMICÍDIO E TENTATIVA APENAS DO CRIME PATRIMONIAL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 A ..., Procuradoria-Geral da República, em parecer do Dr. FRANCISCO DE ASSIS TOLEDO, assim se manifesta: ''J. S. da S. foi condenado por latrocínio (art. 157, § 3º) e por roubo continuado (art. 157, § 2º, I e II. cc art. 51 § 2º, do Código Penal). Nesta impetração, discordando da capitulação dada ao primeiro crime, que a seu ver seria homicídio, dada a falta de consumação da subtração pretendida, pede a anulação do julgamento, por incompetência do Juízo, e conseqüente remessa dos autos para a Vara do Júri. Não vemos como acolher tal pretensão. O homicídio a que se refere o impetrante foi cometido durante a execução de um roubo à mão armada, só não se consumado a subtração pela resistência oposta pelas vítimas, uma delas morta a tiros. Nessas circunstância, segundo recentes decisões do Excelso Pretório, o crime é de latrocínio e a competência é do juiz singular. (HC 56.171, Rel.: Min. CORDEIRO GUERRA, ''RTJ'' 87/828; HC 56.704, Rel.: Min. CUNHA PEIXOTO, ''DJ'' 23-03-79). Pela denegação da ordem.'' - É o relatório. DO VOTO - Ainda recentemente, esta Segunda Turma, ao julgar, em 23-02-79, o HC 56.817, de que fui relator, decidiu - invocando precedentes seus e da Primeira Turma - que se configura o latrocínio ainda quando, verificado o homicídio, não se tenha efetivado a subtração patrimonial. - Em conseqüência, como também entendeu esta Segunda Turma em 01-10-76, ao julgar o RECr. 84.591, competente para o processo e julgamento é o Juiz singular, e não o Tribunal do Júri. - Em face do exposto, indefiro o presente ''habeas corpus''. Julgado em 04-09-1979 Revista Trimestral de Jurisprudência. Fevereiro, 1981 - Vol. 95 - Pág. 538 EMFOR 393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Configura-se como latrocínio, ainda quando, verificado o homicídio não tenha se efetuado a subtração patrimonial. (Precedentes no S.T.F.).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2026-10-26T06:03:41.482Z</dcterms:created>
  <dcterms:modified xsi:type="dcterms:W3CDTF">2026-10-26T06:03:41.482Z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