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MG</w:t>
      </w:r>
    </w:p>
    <w:p>
      <w:r>
        <w:rPr>
          <w:i/>
          <w:iCs/>
          <w:color w:val="666666"/>
        </w:rPr>
        <w:t xml:space="preserve">ACÓRDÃO NA ÍNTEGRA</w:t>
      </w:r>
    </w:p>
    <w:p/>
    <w:p>
      <w:r>
        <w:rPr>
          <w:b/>
          <w:bCs/>
        </w:rPr>
        <w:t xml:space="preserve">Julgado em: </w:t>
      </w:r>
      <w:r>
        <w:t xml:space="preserve">03/09/1979</w:t>
      </w:r>
    </w:p>
    <w:p/>
    <w:p>
      <w:r>
        <w:t xml:space="preserve">CONSUMAÇÃO DO HOMICÍDIO E TENTATIVA APENAS DO CRIME PATRIMONIAL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A ..., Procuradoria-Geral da República, em parecer do Dr. FRANCISCO DE ASSIS TOLEDO, assim se manifesta: ''J. S. da S. foi condenado por latrocínio (art. 157, § 3º) e por roubo continuado (art. 157, § 2º, I e II. cc art. 51 § 2º, do Código Penal). Nesta impetração, discordando da capitulação dada ao primeiro crime, que a seu ver seria homicídio, dada a falta de consumação da subtração pretendida, pede a anulação do julgamento, por incompetência do Juízo, e conseqüente remessa dos autos para a Vara do Júri. Não vemos como acolher tal pretensão. O homicídio a que se refere o impetrante foi cometido durante a execução de um roubo à mão armada, só não se consumado a subtração pela resistência oposta pelas vítimas, uma delas morta a tiros. Nessas circunstância, segundo recentes decisões do Excelso Pretório, o crime é de latrocínio e a competência é do juiz singular. (HC 56.171, Rel.: Min. CORDEIRO GUERRA, ''RTJ'' 87/828; HC 56.704, Rel.: Min. CUNHA PEIXOTO, ''DJ'' 23-03-79). Pela denegação da ordem.'' - É o relatório. DO VOTO - Ainda recentemente, esta Segunda Turma, ao julgar, em 23-02-79, o HC 56.817, de que fui relator, decidiu - invocando precedentes seus e da Primeira Turma - que se configura o latrocínio ainda quando, verificado o homicídio, não se tenha efetivado a subtração patrimonial. - Em conseqüência, como também entendeu esta Segunda Turma em 01-10-76, ao julgar o RECr. 84.591, competente para o processo e julgamento é o Juiz singular, e não o Tribunal do Júri. - Em face do exposto, indefiro o presente ''habeas corpus''. Julgado em 04-09-1979 Revista Trimestral de Jurisprudência. Fevereiro, 1981 - Vol. 95 - Pág. 538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Configura-se como latrocínio, ainda quando, verificado o homicídio não tenha se efetuado a subtração patrimonial. (Precedentes no S.T.F.).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2026-06-17T14:08:41.122Z</dcterms:created>
  <dcterms:modified xsi:type="dcterms:W3CDTF">2026-06-17T14:08:41.122Z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