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JUSTIÇA DO ESTADO - MG</w:t>
      </w:r>
    </w:p>
    <w:p>
      <w:r>
        <w:rPr>
          <w:i/>
          <w:iCs/>
          <w:color w:val="666666"/>
        </w:rPr>
        <w:t xml:space="preserve">ACÓRDÃO NA ÍNTEGRA</w:t>
      </w:r>
    </w:p>
    <w:p/>
    <w:p>
      <w:r>
        <w:rPr>
          <w:b/>
          <w:bCs/>
        </w:rPr>
        <w:t xml:space="preserve">Julgado em: </w:t>
      </w:r>
      <w:r>
        <w:t xml:space="preserve">30/10/1980</w:t>
      </w:r>
    </w:p>
    <w:p/>
    <w:p>
      <w:r>
        <w:t xml:space="preserve">QUANDO A DESPEITO DA EXISTÊNCIA DESTE CABE O DEFERIMENTO DAQUELA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Lei nº 6.416/77, introduziu inovação, de larga repercussão, no instituto da prisão em flagrante. Pelo novo diploma legal, o juiz foi autorizado a dar, ao detido em flagrante, liberdade provisória mediante termo de comparecimento a todos os atos do processo, desde que verifique não ocorrer na hipótese concreta, os requisitos motivadores da prisão preventiva. É evidente, assim, que, para a mantença da medida cautelar, não basta mais que o agente tenha sido surpreendido em situação de flagrância ou quase-flagrância, de acordo com as hipóteses arroladas no art. 302 do CPP e que tenham sido respeitadas as formalidades exigidas pela lei processual para a concretização da providência limitadora da liberdade pessoal. A incorporação de hipótese de "periculum in mora", no âmbito da prisão em flagrante, restringe sua, aplicabilidade e estabelece uma perfeita equipolência entre as duas medidas cautelares: a prisão em flagrante e a prisão preventiva. Não há cogitar de prisão em flagrante se tal prisão não se apresenta com a característica fundamental da prisão preventiva: a sua necessariedade. Mas necessariedade em função do que? É óbvio que se torna obrigatório, a esta altura o exame dos objetivos da prisão preventiva para que se possa ratificar a prisão em flagrante. - É lição de CARRARA ("Programma", 5ª ed. Luca, 1877, 11/446) que a custódia preventiva atende a uma tríplice necessidade: a) a necessidade de justiça na medida em que afasta a fuga do réu; b) necessidade da verdade na medida em que obsta que o réu confu nda as atividades da autoridade policial, destrua os vestígios do delito ou intimide as testemunhas e c) a necessidade da defesa pública na medida que impede a certos delinqüentes, pendente processo, continuar em seus ataques ao direito alheio. Este posicionamento permanece de grande atualidade visto que, na moderna processualística penal, faz-se ainda uma tripartição dos escopos da prisão preventiva, levando-se em conta o fim de coerção processual, o fim de garantia para execução da pena e o fim de prevenção imediata em relação ao cometimento de delitos por parte do detido. - E é isto, exatamente, o que está consignado no art. 312 do CPP. Nem uma palavra a menos. - ....................................................... - Nunca é demais insistir na desconcertante observação de Santo Agostinho de que "os homens torturam para saber se se deve torturar". "Esta fórmula paradoxal põe à luz a irresolúvel implicação do processo na pena e da pena no processo e se traduz na proposição segundo a qual se é constrangido a punir para saber se se deve punir, no sentido de que se inflinge um sofrimento certo por um delito eventual". "A custódia preventiva injustamente sofrida por aquele que posteriormente é reconhecido inocente representa o paradigma exemplar da triste justiça humana: precisamente para ser absolvido, o inocente é punido" (GIUSEPPE DE LUCCA, "Custódia Preventiva", "Enciclopédia del Diritto", vol. XI/589). Eis por que apenas nas hipóteses em que a medida de cautela se apresenta absolutamente necessária, é que se pode admitir a privação provisória da liberdade do cidadão. - Em conseqüência, concedem, em parte, a ordem para que o impetrante fique em liberdade provisória, mediante termo de comparecimento a todos os atos processuais, de acordo com o parágrafo único do art. 310 do Código de Processo Penal. Julgado em 31-10-1980 Revista dos Tribunais. Março, 1979 - Vol. 521 - Pág. 352 EMFOR 386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dos arts. 302 e 311 do Código de Processo Penal e da Lei n° 6.416, de 1977. - Mesmo que dúvida inexista quanto ao estado de flagrância e de que o auto esteja revestido de todas as formalidades legais, pode ser relaxada a custódia e concedida ao acusado a liberdade provisória, se ela não se apresenta com a característica fundamental da prisão preventiva: sua necessariedade.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2026-09-10T22:28:53.324Z</dcterms:created>
  <dcterms:modified xsi:type="dcterms:W3CDTF">2026-09-10T22:28:53.324Z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