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>
      <w:r>
        <w:rPr>
          <w:b/>
          <w:bCs/>
        </w:rPr>
        <w:t xml:space="preserve">Julgado em: </w:t>
      </w:r>
      <w:r>
        <w:t xml:space="preserve">22/02/1979</w:t>
      </w:r>
    </w:p>
    <w:p/>
    <w:p>
      <w:r>
        <w:t xml:space="preserve">PENA FIXADA POR SENTENÇA ABRANGIDA POR NULIDADE — QUANDO NÃO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Desde que não foi proferida sentença condenatória no processo que se renovou, só é possível cogitar-se da prescrição pela pena "in abstrato", prevista no art. 109 do Código Penal. Atente-se, inclusive, para que o acusado poderá até ser absolvido. Se não existe sentença condenatória, porque anulada a única proferida, a prescrição no caso deve ser regulada pelo máximo da pena cominada aos crimes imputados ao denunciado, ora recorrente. - Se o máximo das penas cominadas para os crimes de falsificação de documento (art. 297 do CP) e estelionato (art. 171 do CP) é de 6 e 5 anos respectivamente, a prescrição da pretensão punitiva se opera em 12 anos (arts. 109, III, e 118 do Código Penal). Assim sendo e à vista de que o recebimento da denúncia (causa interruptiva da prescrição) se deu a 15-09-1969, até a presente data não fluiu o aludido prazo prescricional. - Desde que o processo pende de novo julgamento, em face de nulidade decretada em "habeas corpus" por vício de citação para a ação penal, não há cogitar de "reformatio in pejus", ensejando aplicação dos arts. 617 e 626, do Código de Processo Penal. - Vale realçar que os acórdãos desta Corte invocados pelo recorrente não o beneficiam, eis que tratam de casos nos quais uma segunda sentença proferida em decorrência de anulação do primeiro processo, fixa pena superior à que foi aplicada naquele. - Com estes fundamentos, nego provimento ao recurso. Julgado em 23-02-1979 Revista Trimestral de Jurisprudência. Abril, 1980 - Vol. 92 - Pág. 111 EMFOR 386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não houve nova sentença condenando o réu, não é possível a invocação de extinção da punibilidade pela prescrição, com base na pena fixada em sentença abrangida por nulidade processual. (Trecho do acórdão).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2026-06-17T15:25:34.094Z</dcterms:created>
  <dcterms:modified xsi:type="dcterms:W3CDTF">2026-06-17T15:25:34.094Z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