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25/04/1979</w:t>
      </w:r>
    </w:p>
    <w:p/>
    <w:p>
      <w:r>
        <w:t xml:space="preserve">PRISÃO POSTERIOR DO AGENTE COM A COISA EM SEU PODER — CRIME CONSUMADO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vejo por que acolher a pretensão do recorrente. A douta Procuradoria-Geral da Justiça, no bem elaborado parecer argumenta, com justeza e propriedade, que o crime de roubo é complexo. Destarte, empregada a "vis compulsiva", a tentativa só ocorre se o crime-fim - a subtração patrimonial - ficar em fase tentada, Não é o caso dos autos. Subtraído o dinheiro, o acusado fugiu e, com a coisa em seu poder, teve um momento de tranqüilidade. Momentos depois - por mera e feliz coincidência - é que foi encontrado na rua, como se nada houvera acontecido. Reconhecido pela vítima, foi ele então preso em flagrante. Como se vê, não é possível a configuração do crime tentado, como quer e pretende o apelante. - Certa portanto, a sentença recorrida. A pena imposta o foi criteriosamente. Julgado em 26-04-1979 Jurisprudência Mineira. Abril a Junho, 1979 - Vol. 74 - Pág. 237 EMFOR 386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crime de roubo complexo, empregada a "vis compulsiva", a tentativa só ocorre se o crime-fim - a subtração patrimonial - ficar em fase tentada. Não é possível a configuração do crime tentado, se o agente subtrai o dinheiro e foge, e, com a coisa em seu poder, é encontrado posteriormente na rua, sendo preso em flagrante.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2026-06-17T20:57:00.649Z</dcterms:created>
  <dcterms:modified xsi:type="dcterms:W3CDTF">2026-06-17T20:57:00.649Z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