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JUSTIÇA MILITAR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03/06/1979</w:t>
      </w:r>
    </w:p>
    <w:p/>
    <w:p>
      <w:r>
        <w:t xml:space="preserve">RELAÇÃO DE CAUSALIDADE — OCORRÊNCIA APÓS CIRURGIA FACIAL - CAUSA INDEPENDENTE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Código, no art. 11, adotou teoria da equivalência das condições, considerando causa toda condição do resultado, todo fato que concorre para sua produção, sem o qual sua realização seria impossível. Mas, para atenuá-la, excluiu-se a imputação pela superveniência de causa independente, que por si só, produziu o resultado. - Ressaltam todos a dificuldade com a qual se depara na interpretação do texto, mas os intérpretes, de um modo geral, concordam com HUNGRIA, que entende que a independência da causa superveniente é meramente relativa (cf. HUNGRIA, "Comentários", vol. I, t. II/67-68; JOSÉ FREDERICO MARQUES, "Tratado", vol. 2, pp. 9192; EUCLIDES CUSTÓDIO DA SILVEIRA, "Crimes contra a Pessoa", pp. 154 155). - O Prof. BASILEU GARCIA embora discordante da interpretação mais liberal, por entender, com COSTA E SILVA que a independência deve ser absoluta, reconhece que "se cabe discutir a exatidão de tal diretriz doutrinária perante a fria letra da lei, não se pode contestar o seu alcance no plano da conveniência da Justiça para poupá-la a soluções iníquas, em certos casos de chocante desproporção entre a conduta e o resultado" ("Instituições de Direito Penal", vol. I, t. I/226). - Reestudando o tormentoso problema, o Prof. PAULO JOSÉ DA COSTA JÚNIOR, em excelente monografia, depois de aceitar que o Código acolheu, como limite, a teoria da equivalência causal, exigiu para a condição ser considerada causa, um "quid" a mais, ou seja, a adequação da condição. Assim, "causa é a condição adequada, vale dizer idônea, possível, não excepcional". Apurar-se se um fato se consti tui causa do evento só é possível em concreto, mercê de sua valoração póstuma, que permita a conclusão no sentido de que a conduta era idônea a produzir o resultado final" (cf. PAULO JOSÉ DA COSTA JÚNIOR, "O Nexo Causal", ed. 1964, p. 118). - O acidente pós-operatório, noticiado nos autos, se de alguma forma estava relacionado com a agressão praticada pelo réu, constituiu-se em fato independente e apto, por si só, à produção do resultado letal. Não parece razoável imputar ao agente o resultado mais grave só porque a circunstância se encontra na linha de desdobramento físico da ação anterior. A cirurgia corretiva, embora realizada em razão de deformidade, não era indispensável para impedir resultado mais grave, tão-somente, à correção de um defeito, que, por si só, não era causa de perigo de vida. - ........................................ - O parágrafo único do art. 11, citado, embora excluindo a imputação pela superveniência de causa independente, dispõe que "os fatos anteriores, entretanto, imputam-se a quem os praticou". - Em conseqüência, responde o réu apenas por lesões corporais gravíssimas - art. 129, § 2º, III e IV, do Código Penal. - Daí porque o recurso é provido, para, desclassificada a infração, impor ao recorrente a pena... Julgado em 04-06-1979 Revista dos Tribunais. Dezembro, 1979 - Vol. 530 - Pág. 329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11 e 129, §§ 3º e 2º, III e IV, do Código Penal. - Se a morte ocorreu após cirurgia facial, sem objetivo de afastar perigo de vida provocado pela lesão, mas tão-só corrigir o defeito resultante no rosto da vítima, constitui-se em causa independente, apta, por si só, a produzir aquele evento.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2026-10-26T03:53:58.700Z</dcterms:created>
  <dcterms:modified xsi:type="dcterms:W3CDTF">2026-10-26T03:53:58.700Z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