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Relator: </w:t>
      </w:r>
      <w:r>
        <w:t xml:space="preserve">BILAC PINTO</w:t>
      </w:r>
    </w:p>
    <w:p>
      <w:r>
        <w:rPr>
          <w:b/>
          <w:bCs/>
        </w:rPr>
        <w:t xml:space="preserve">Julgado em: </w:t>
      </w:r>
      <w:r>
        <w:t xml:space="preserve">22/10/1979</w:t>
      </w:r>
    </w:p>
    <w:p/>
    <w:p>
      <w:r>
        <w:t xml:space="preserve">RETROATIVIDADE — PERÍODO EXCLUÍDO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visto que o Ministério Público recorrente demonstrou que o acórdão impugnado diverge dos paradigmas por ele indicados na petição de recurso extraordinário. E, conhecendo, dou-lhe provimento porque o Supremo Tribunal Federal firmou o entendimento, de que a prescrição retroativa não alcança o período compreendido entre o fato criminoso e o recebimento da denúncia. A Súmula 146 (*) deve ser interpretada em termos estritos, mormente após o advento da Lei nº 6.416/77, que alterou a redação do art. 110 do Código Penal. Esta é a mais recente jurisprudência, de que nos dá notícia o julgamento proferido no RHC 55.294 - Pleno, além do RE 91.312, Rel.: Min. XAVIER DE ALBUQUERQUE e o HC nº 55.367, Rel. Min. BILAC PINTO e RE 91.313, de que fui relator. - Conheço o dou provimento. Julgado em 23-10-1979 Revista Trimestral de Jurisprudência. Julho, 1980 - Vol. 93 - Pág. 444 (*) "A prescrição da ação penal regula-se pela pena concretizada na sentença, quando não há recurso da acusação." ("EMENTÁRIO FORENSE", Nº 192)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orientação atual do Supremo Tribunal Federal é no sentido de que a prescrição retroativa não alcança o período compreendido entre o fato criminoso e o recebimento da denúncia.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2026-10-26T02:48:06.268Z</dcterms:created>
  <dcterms:modified xsi:type="dcterms:W3CDTF">2026-10-26T02:48:06.268Z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