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JUSTIÇA MILITAR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Relator: </w:t>
      </w:r>
      <w:r>
        <w:t xml:space="preserve">BILAC PINTO</w:t>
      </w:r>
    </w:p>
    <w:p>
      <w:r>
        <w:rPr>
          <w:b/>
          <w:bCs/>
        </w:rPr>
        <w:t xml:space="preserve">Julgado em: </w:t>
      </w:r>
      <w:r>
        <w:t xml:space="preserve">22/10/1979</w:t>
      </w:r>
    </w:p>
    <w:p/>
    <w:p>
      <w:r>
        <w:t xml:space="preserve">RETROATIVIDADE — PERÍODO EXCLUÍDO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visto que o Ministério Público recorrente demonstrou que o acórdão impugnado diverge dos paradigmas por ele indicados na petição de recurso extraordinário. E, conhecendo, dou-lhe provimento porque o Supremo Tribunal Federal firmou o entendimento, de que a prescrição retroativa não alcança o período compreendido entre o fato criminoso e o recebimento da denúncia. A Súmula 146 (*) deve ser interpretada em termos estritos, mormente após o advento da Lei nº 6.416/77, que alterou a redação do art. 110 do Código Penal. Esta é a mais recente jurisprudência, de que nos dá notícia o julgamento proferido no RHC 55.294 - Pleno, além do RE 91.312, Rel.: Min. XAVIER DE ALBUQUERQUE e o HC nº 55.367, Rel. Min. BILAC PINTO e RE 91.313, de que fui relator. - Conheço o dou provimento. Julgado em 23-10-1979 Revista Trimestral de Jurisprudência. Julho, 1980 - Vol. 93 - Pág. 444 (*) "A prescrição da ação penal regula-se pela pena concretizada na sentença, quando não há recurso da acusação." ("EMENTÁRIO FORENSE", Nº 192)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orientação atual do Supremo Tribunal Federal é no sentido de que a prescrição retroativa não alcança o período compreendido entre o fato criminoso e o recebimento da denúncia.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2026-07-28T00:42:23.253Z</dcterms:created>
  <dcterms:modified xsi:type="dcterms:W3CDTF">2026-07-28T00:42:23.253Z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