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p>
      <w:r>
        <w:t xml:space="preserve">03. APLICAÇÃO DE MEDIDAS ANTIDUMPING — REGULAMENTA S NORMAS QUE DISCIPLINAM</w:t>
      </w:r>
    </w:p>
    <w:p/>
    <w:p>
      <w:pPr>
        <w:pStyle w:val="Heading2"/>
      </w:pPr>
      <w:r>
        <w:rPr>
          <w:b/>
          <w:bCs/>
        </w:rPr>
        <w:t xml:space="preserve">Ementa</w:t>
      </w:r>
    </w:p>
    <w:p>
      <w:r>
        <w:t xml:space="preserve">SEÇÃO III DOS PRODUTOS SUJEITOS ÀS MEDIDAS ANTIDUMPING PROVISÓRIAS Art. 49. Exceto nos casos previstos nesta Seção, somente poderão ser aplicadas medidas antidumping provisórias e direitos antidumping a produtos importados que tenham sido despachados para consumo após a data de publicação do ato que contenha as decisões previstas nos arts. 34 e 42. Art. 50. Caso a determinação final seja pela não existência de dumping ou de dano dele decorrente, o valor das medidas antidumping provisórias, se recolhido será restituído, se garantido por depósito será devolvido ou, no caso de fiança bancária, está será extinta. Art. 51. Caso a determinação final seja pela existência de ameaça de dano material ou de retardamento sensível no estabelecimento de uma indústria, sem que tenha ocorrido dano material, o valor das medidas antidumping provisórias, se recolhido será restituído, se garantido por depósito será devolvido ou no caso de finança bancária, esta será extinta, salvo se for verificado que as importações objeto de dumping, na ausência de medidas antidumping provisórias, teriam levado à determinação de dano material, quando então se aplica o disposto nos artigos seguintes. Art. 52. Caso a determinação final seja pela existência de dumping e de dano dele decorrente, observar-se-á: I - quando o valor do direito aplicado pela decisão final for inferior ao valor de direito provisoriamente recolhido ou garantido por depósito, o excedente será restituído ou devolvido, respectivamente; II - quando do valor direito aplicado pela decisão final for superior ao valor do direito provisoriamente recolhido ou garantido por depósito, a diferença não será exigida; III - quando o valor do direito aplicado pela decisão final for igual ao valor do direito provisoriamente recolhido ou garantido por depósito, estas importâncias serão automaticamente convertidas em direito definitivo. Art. 53. Caso a determinação final seja pela existência de dumping e de dano dele decorrente quando o valor do direito aplicado pela decisão final, no caso de garantia por fiança bancária, for superior ou igual ao valor do direito provisoriamente determinado, a importância correspondente ao valor garantido deverá ser imediatamente recolhida. Quando esse valor for inferior ao valor do direito provisoriamente determinado, somente será recolhida a importância equivalente ao valor determinado pela decisão final. Parágrafo único. O recolhimento das importâncias referidas no caput ensejará a conseqüente extinção da fiança. Na hipótese de inadimplemento, a fiança será automaticamente executada, independentemente de aviso judicial ou extrajudicial, nos termos da legislação pertinente. Art. 54. Direitos antidumping definitivos poderão ser cobrados sobre produtos importados, objeto de dumping, que tenham sido despachados para consumo, até noventa dias antes da data de aplicação das medidas antidumping provisórias, sempre que se determine, com relação ao produto em questão, que: I - há antecedentes de dumping causador de dano, ou que o importador estava ou deveria estar ciente, de que o produtor ou exportador pratica dumping e de que este causaria dano; e II - o dano é causado por volumosas importações de um produto a preços de dumping em período relativamente curto, o que, levando em conta o período em que foram efetuadas e o volume das importações objeto de dumping e também o rápido crescimento dos estoques do produto importado, levará provavelmente a prejudicar seriamente o efeito corretivo dos direitos antidumping definitivos aplicáveis, desde que tenha sido dada aos importadores envolvidos a oportunidade de se manifestar sobre a medida; Parágrafo único. Não serão cobrados sobre produtos que tenham sido despachados para consumo antes da data de abertura da investigação. Art. 55. No caso de violação de compromissos de preços, direitos antidumping definitiv os poderão ser cobrados sobre produtos importados despachados para consumo, até noventa dias antes da aplicação de medidas antidumping provisórias, previstas no art. 38, ressalvados aqueles que tenham sido despachados antes da violação do compromisso. CAPÍTULO VII DA DURAÇÃO E REVISÃO DOS DIREITOS ANTIDUMPING COMPROMISSOS DE PREÇOS Art. 56. Direitos antidumping e compromissos de preços somente permanecerão em vigor enquanto perdurar a necessidade de neutralizar o dumping causador de dano. Art. 57. Todo direito antidumping definitivo será extinto no máximo em cinco anos após a sua aplicação, ou cinco anos a contar da data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2026-07-27T23:33:28.373Z</dcterms:created>
  <dcterms:modified xsi:type="dcterms:W3CDTF">2026-07-27T23:33:28.373Z</dcterms:modified>
</cp:coreProperties>
</file>

<file path=docProps/custom.xml><?xml version="1.0" encoding="utf-8"?>
<Properties xmlns="http://schemas.openxmlformats.org/officeDocument/2006/custom-properties" xmlns:vt="http://schemas.openxmlformats.org/officeDocument/2006/docPropsVTypes"/>
</file>