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p>
      <w:r>
        <w:t xml:space="preserve">ACORDO ANTIDUMPING E ACORDO DE SUBSÍDIOS E DIREITOS COMPENSATÓRIOS — APLICAÇÃO DOS DIREITOS PREVISTOS - DISPÕE SOBRE</w:t>
      </w:r>
    </w:p>
    <w:p/>
    <w:p>
      <w:pPr>
        <w:pStyle w:val="Heading2"/>
      </w:pPr>
      <w:r>
        <w:rPr>
          <w:b/>
          <w:bCs/>
        </w:rPr>
        <w:t xml:space="preserve">Ementa</w:t>
      </w:r>
    </w:p>
    <w:p>
      <w:r>
        <w:t xml:space="preserve">LEI Nº 9.019, DE 30 DE MARÇO DE 1995 Dispõe sobre a aplicação dos direitos previstos no Acordo Antidumping e no Acordo de Subsídios e Direitos Compensatórios, e dá outras providências. Faço saber que o PRESIDENTE DA REPÚBLICA adotou a Medida Provisória nº 926, de 1995, que o Congresso Nacional aprovou, e eu, JOSÉ SARNEY, Presidente, para os efeitos do disposto no parágrafo único do art. 62 da Constituição Federal, promulgo a seguinte lei: Art. 1º Os direitos antidumping e os direitos compensatórios, provisórios ou definitivos, de que tratam o Acordo Antidumping e o Acordo de Subsídios e Direitos Compensatórios, aprovados, respectivamente, pelos Decretos Legislativos nºs 20 e 22, de 5 de dezembro de 1986, e promulgados pelos Decretos nºs 93.941, de 16 de janeiro de 1987, e 93.962, de 22 de janeiro de 1987, decorrentes do Acordo Geral sobre Tarifas Aduaneiras e Comércio (Gatt), adotado pela Lei nº 313, de 30 de julho de 1948, e ainda o Acordo sobre Implementação do Artigo VI do Acordo Geral sobre Tarifas e Comércio 1994 e o Acordo sobre Subsídios e Medidas Compensatórias, anexados ao Acordo Constitutivo da Organização Mundial de Comércio (OMC), parte integrante da Ata Final que Incorpora os Resultados da Rodada Uruguai de Negociações Comerciais Multilaterais do Gatt, assinada em Marraqueche, em 12 de abril de 1994, aprovada pelo Decreto Legislativo nº 30, de 15 de dezembro de 1994, promulgada pelo Decreto nº 1.355, de 30 de dezembro de 1994, serão aplicados mediante a cobrança de importância, em moeda corrente do País, que corresponderá a percentual da margem de dumping ou do montante de subsídios, apurados em processo administrativo, nos termos dos mencionados Acordos, das decisões PC/13, PC/14, PC/15 e PC/16 do Comitê Preparatório e das partes contratantes do Gatt, datadas de 13 de dezembro de 1994, e desta lei, suficientes para sanar dano ou ameaça de dano à indústria doméstica. Parágrafo único. Os direitos a ntidumping e os direitos compensatórios serão cobrados independentemente de quaisquer obrigações de natureza tributária relativas à importação dos produtos afetados. Art. 2º Poderão ser aplicados direitos provisórios durante a investigação, quando da análise preliminar verificar-se a existência de indícios da prática de dumping ou de concessão de subsídios, e que tais práticas causam dano, ou ameaça de dano, à indústria doméstica, e se julgue necessário impedi-las no curso da investigação. Parágrafo único. O termo "indústria doméstica" deverá ser entendido conforme o disposto nos Acordos Antidumping e nos Acordos de Subsídios e Direitos Compensatórios, mencionados no art. 1º, abrangendo as empresas produtoras de bens agrícolas, minerais ou industriais. Art. 3º A exigibilidade dos direitos provisórios poderá ficar suspensa, até decisão final do processo, a critério das autoridades referidas no art. 6º desta lei, desde que o importador ofereça garantia equivalente ao valor integral da obrigação e demais encargos legais, que consistirá em: I - depósito em dinheiro; ou II - fiança bancária. § 1º A garantia deverá assegurar, em todos os casos, a aplicação das mesmas normas que disciplinam a hipótese de atraso no pagamento de tributos federais, inclusive juros, desde a data de vigência dos direitos provisórios. § 2º A Secretaria da Receita Federal (SRF), do Ministério da Fazenda, disporá sobre a forma de prestação e liberação da garantia referida neste artigo. § 3º O desembaraço aduaneiro dos bens objeto da aplicação dos direitos provisórios dependerá da prestação da garantia a que se refere este artigo. Art. 4º Poderá ser celebrado com o exportador ou o governo do país exportador compromisso que elimine os efeitos prejudiciais decorrentes da prática de dumping ou de subsídios. § 1º O compromisso a que se refere este artigo será celebrado perante a Secretaria de Comércio Exterior ( Secex), do Ministério da Indústria, do Comércio e do Turismo, submetido à homologação conjunta das autoridades a que se refere o art. 6º desta lei. § 2º Na hipótese de homologação de compromisso, a investigação será suspensa, sem a imposição de direitos provisórios ou definitivos, ressalvado o disposto nos Acordos Antidumping e nos Acordos de Subsídios e Direitos Compensatórios, mencionados no art. 1º. Art. 5º Compete à Secretaria de Comércio Exterior (Secex), do Ministério da Indústria, do Comércio e do Turismo, mediante processo administrativo, apurar a margem de dumping ou montante de subsídio, a existência de dano ou ameaça de dano,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2026-07-28T01:51:26.096Z</dcterms:created>
  <dcterms:modified xsi:type="dcterms:W3CDTF">2026-07-28T01:51:26.097Z</dcterms:modified>
</cp:coreProperties>
</file>

<file path=docProps/custom.xml><?xml version="1.0" encoding="utf-8"?>
<Properties xmlns="http://schemas.openxmlformats.org/officeDocument/2006/custom-properties" xmlns:vt="http://schemas.openxmlformats.org/officeDocument/2006/docPropsVTypes"/>
</file>