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>
      <w:r>
        <w:rPr>
          <w:b/>
          <w:bCs/>
        </w:rPr>
        <w:t xml:space="preserve">Recurso: </w:t>
      </w:r>
      <w:r>
        <w:t xml:space="preserve">RE 80.037</w:t>
      </w:r>
    </w:p>
    <w:p>
      <w:r>
        <w:rPr>
          <w:b/>
          <w:bCs/>
        </w:rPr>
        <w:t xml:space="preserve">Julgado em: </w:t>
      </w:r>
      <w:r>
        <w:t xml:space="preserve">16/10/1978</w:t>
      </w:r>
    </w:p>
    <w:p/>
    <w:p>
      <w:r>
        <w:t xml:space="preserve">INIDONEIDADE DESTA PARA A VIOLÊNCIA — CAPACIDADE DE INTIMIDAÇÃO -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resta dúvida de que o entendimento prevalente no arresto recorrido destoa do acolhido no RE 80.037, relatado pelo eminente Min. LEITÃO DE ABREU, e em que se lê: "Recurso Extraordinário Criminal - Interpretação do art. 157, § 2º, I, do Código Penal. Incide esse dispositivo assim quando a arma empregada constitui meio idôneo para a realização da violência ou da ameaça como quando embora não idônea a arma para esse fim, ou por estar descarregada, ou por ser mera contrafação, infundiu na vítima, que desconhecia a impropriedade do meio utilizado, justo receio de vir, pela resistência que opusesse, a pôr em risco a sua integridade física" (DJU de 04-04-75, p. 2.049, RTJ 72/961)" (...). - Tenho como correta a exegese adotada no acórdão paradigma, que se apoia no magistério de NÉLSON HUNGRIA e MAGALHAES NORONHA. citados no Parecer da douta Procuradoria-Geral da República. Na verdade, a utilização de arma ineficiente poderá ensejar incriminação, desde que a vítima desconhecia tal circunstância e foi realmente intimidada. Em consequência, responde por roubo agravado. Não se exige a idoneidade lesiva da arma, bastando a aptidão para intimidar, seguida do temor que impede a vítima de opor reação à conduta do réu. Vasta é a jurisprudência nesse sentido (...). - Diante do exposto, conheço do recurso e dou-lhe provimento. Julgado em 17-10-1978 Revista dos Tribunais. Maio, 1979 - Vol. 523 - pág. 517 EMFOR 387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157, § 2º, I, do Código Penal. - Desde que a arma utilizada pelo agente ativo intimide a vítima, embora não idônea para a realização da violência ou ameaça, justifica a majorante da pena do delito de roubo.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2026-10-26T06:06:41.023Z</dcterms:created>
  <dcterms:modified xsi:type="dcterms:W3CDTF">2026-10-26T06:06:41.023Z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