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INFRINGENTES</w:t>
      </w:r>
    </w:p>
    <w:p>
      <w:r>
        <w:rPr>
          <w:i/>
          <w:iCs/>
          <w:color w:val="666666"/>
        </w:rPr>
        <w:t xml:space="preserve">RECURSO EXTRAORDINÁRIO</w:t>
      </w:r>
    </w:p>
    <w:p/>
    <w:p/>
    <w:p>
      <w:r>
        <w:t xml:space="preserve">RECURSO ORDINÁRIO PARA O STF EM LUGAR DO DE EMBARGOS INFRINGENTES PARA O STM — RECEBIMENTO COMO EMBARGOS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514 do Código de Processo Penal Militar. - Diante da regra de que a parte não será prejudicada pela interposição de um recurso por outro, salvo a hipótese de má-fé, determina-se a devolução dos autos ao Superior Tribunal Militar, "para que processe e julgue como de direito o recurso cabível, ou seja, embargos infringentes". (Ementa do EMENTÁRIO FORENSE) V. o t. RECURSO, st. ACÓRDÃO DO STM EMFOR 385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2026-07-28T02:46:43.210Z</dcterms:created>
  <dcterms:modified xsi:type="dcterms:W3CDTF">2026-07-28T02:46:43.210Z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