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 70.955</w:t>
      </w:r>
    </w:p>
    <w:p>
      <w:r>
        <w:rPr>
          <w:b/>
          <w:bCs/>
        </w:rPr>
        <w:t xml:space="preserve">Julgado em: </w:t>
      </w:r>
      <w:r>
        <w:t xml:space="preserve">10/03/1980</w:t>
      </w:r>
    </w:p>
    <w:p/>
    <w:p>
      <w:r>
        <w:t xml:space="preserve">FUNDAMENTAÇÃO SUPLEMENTAR — SE POR ESTA SE CONSIDERA SANADO O DESPACHO QUE A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fundamentação que se exige de um decreto de prisão preventiva, pela gravidade de suas implicações para com a garantia básica da liberdade individual, não se pode cingir a repetições formais e abstratas dos conceitos legais pertinentes. É preciso que se diga, mesmo concisa ou laconicamente, mas com objetividade, da ocorrência, "in concreto" dos pressupostos que indiquem a necessidade da medida ou dos elementos processuais suficientes a um juízo provisório sobre a existência do crime e indícios de autoria. - Está visto que a fundamentação constante do despacho, em causa, transcrito no relatório, desserve inteiramente ao propósito da lei de ver justificada a decretação da grave medida. A bem dizer, há nos autos, de parte de quase todos os que se manifestam, a admissão explícita ou implícita dessa verdade. - Assim, a recusa da concessão da ordem busca outra razão, a de que as informações prestadas ao Tribunal "a quo" pela autoridade coatora supriram as deficiências do decreto e legitimaram "a posteriori" a prisão. - Entretanto, esse entendimento não tem guarida na jurisprudência da Corte e não tem adequação com a substância e a finalidade do despacho. Aos precedentes se acrescentou o julgamento desta Egrégia Turma, no RHC nº 56.900, de que fui Relator, estabelecida a seguinte ementa: "Prisão preventiva. Fundamentação Suplementar ao despacho. " O despacho que decreta a prisão preventiva, quando falho, não se considera sanado por fundamentação suplementar, depois de haver produzido efeitos" (RE 70.955, RTJ 59/31). Recurso de "habeas corpus" provido." - Decerto assim é, pois o que se pode é a fundamentação intrínseca do despacho, razões inerentes ao ato de sua emissão, e não a justificação extrínseca e extemporânea da sua conveniência e oportunidade, a pretender suprir as falhas essenciais daqueles. - Dou provimento ao recurso para conceder a ordem, anulando o decreto de prisão. Julgado em 11-03-1980 Revista Trimestral de Jurisprudência. Agosto, 1980 - Vol. 93 - Pág. 582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despacho que decreta a prisão preventiva, quando falho, não se considera sanado por fundamentação suplementar, depois de haver produzido efeitos" (RE 70.955, RTJ 59/31).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2026-07-27T23:19:03.234Z</dcterms:created>
  <dcterms:modified xsi:type="dcterms:W3CDTF">2026-07-27T23:19:03.234Z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