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10/12/1978</w:t>
      </w:r>
    </w:p>
    <w:p/>
    <w:p>
      <w:r>
        <w:t xml:space="preserve">RELAÇÃO DE CAUSALIDADE — BRONCOPNEUMONIA QUE SE SEGUE AO FERIMENTO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inquestionável o nexo causal entre a morte da vítima e as lesões por ela recebidas. - Via de regra, a imobilidade do paciente em cama de hospital, provoca complicações broncopneumônicas e é claro que a causa imediata foi, realmente, aquela lesão provocada pelo agente. - Não há se falar, no caso, em causa independente, pois, não fora a necessidade da internação e de manter-se o paciente imobilizado, por certo inocorreria o agravamento de sua saúde. - Aliás, questão bastante semelhante já foi apreciada pelo E. Tribunal de Alçada em magnífico acórdão relatado pelo Juiz LAURO MALHEIROS, em que ficou assentado: "Não há falar em superveniência de causa independente, ou em inexistência de relação de causalidade, se, em conseqüência do acidente de trânsito provocado pelo réu, vêm a vítima a falecer, dias depois, em virtude de broncopneumonia eclodida no decurso de tratamento..." (RT 455/376) - ........................................ - Fica em parte, assim, provido o apelo. Julgado em 11-12-1978 Revista dos Tribunais. Outubro, 1979 - Vol. 528 - Pág. 319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129, § 3º, e II do Código Penal. - Não há falar em superveniência de causa independente, ou em inexistência de relação de causalidade, se, em conseqüência do ferimento provocado pelo réu, a vítima vem a falecer, posteriormente, por broncopneumonia eclodida no decurso de seu tratamento hospitalar.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2026-07-28T01:55:32.139Z</dcterms:created>
  <dcterms:modified xsi:type="dcterms:W3CDTF">2026-07-28T01:55:32.139Z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