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Ap. 398.913-7</w:t>
      </w:r>
    </w:p>
    <w:p/>
    <w:p>
      <w:r>
        <w:t xml:space="preserve">PROTESTO — DIREITO DO ENDOSSATÁRIO - SE NECESSITA DE ORDEM ESCRITA DO ENDOSSANTE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Aliás, não se confundem o endosso-caução e o endosso-mandato. Neste, o endossatário é mero detentor do título e age em nome do endossante-mandante. No endosso-caução, o endossatário diverso do mero mandatário, exerce direito que lhe é próprio assegurado pelo título creditício, e não como representante do credor originário. - Nesse sentido, já decidiu a C. 7ª Câmara deste Tribunal, por votação unânime, nos autos das Aps. 358.530 e 396.693/2, ambos da comarca de São Paulo, em v. acórdãos relatados pelo eminente Juiz VASCONCELLOS PEREIRA. Veja-se, ainda, o v. acórdão da mesma Câmara, na Ap. 398.913-7, de São Paulo. - No caso vertente, não se cuida de endosso-mandato, mas, sim, de endosso-caução. O Banco do Brasil S/A agiu em nome próprio, na qualidade de credor-endossatário, por força de caução, não podendo, portanto, receber ordem escrita da apelante. - Tendo recebido a duplicata endossada na qualidade de credor, e não de mandatário da apelante o Banco do Brasil S/A., poderia perfeitamente encaminhar o título ao Cartório de Protestos. Ac. de 18-10-1990 Rev. dos Tribunais - Jul. de 1991 - Vol. 669 - Pág. 106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endosso-caução o endossatário exerce direito que lhe é próprio, assegurado pelo título creditício, não sendo mero representante do credor originário. Assim, pode encaminhar o título ao cartório de protesto sem que para tanto necessite de ordem escrita do endossante.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2026-10-26T03:23:57.334Z</dcterms:created>
  <dcterms:modified xsi:type="dcterms:W3CDTF">2026-10-26T03:23:57.334Z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