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13/08/1979</w:t>
      </w:r>
    </w:p>
    <w:p/>
    <w:p>
      <w:r>
        <w:t xml:space="preserve">QUANDO IMPORTA EM SUPRESSÃO DE INSTÂNCIA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Julgando o recurso do Ministério Público explicitamente fundado no art. 581, XIII do Código de Processo Penal, que o admite contra decisão, despacho ou sentença que anular o processo da instrução criminal, no todo ou em parte, - e não no inciso IV do mesmo artigo de lei que relaciona o recurso aos casos de pronúncia ou impronúncia do réu - o Tribunal paulista não deveria ter ido além de proclamar a inexistência da nulidade reconhecida pelo magistrado e de, em consonância com tal conclusão, determinar que lhe voltassem os autos para proferir a sentença que ao caso se adequasse, dentre as hipóteses previstas nos arts. 408, 409, 410 e 411 do Código já referido. - É certo que o juiz não foi suficientemente preciso e claro, e que os termos de sua decisão poderiam dar lugar a alguma perplexidade. Ainda assim, não creio que o Tribunal pudesse pronunciar, desde logo, os acusados, porque a sentença não continha uma só palavra sobre o segundo dos pressupostos da pronúncia, que era a existência de indícios de que os réus fossem os autores do crime. Essa questão, examinou-se originariamente o Tribunal, com manifesta supressão do primeiro grau de jurisdição. - Isto posto, defiro os dois pedidos de "habeas corpus", para cassar, no acórdão da Primeira Câmara Criminal do Tribunal de Justiça de São Paulo, a parte que pronunciou os pacientes, para que o aresto prevaleça apenas no ponto em que proclamou a inocorrência em primeiro grau. Devem os autos da ação penal, em conseqüência, voltar ao juiz de primeira instância, para os fins já aludidos neste voto. Estendo a concessão ao acusado W. C. nos termos do art. 580 do Código de Processo Penal. Julgado em 14-08-1979 Revista Trimestral de Jurisprudência. Janeiro, 1980 - Vol. 91 - Pág. 118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pronúncia decretada em segundo grau, no julgamento de recurso contra decisão anulatória do feito, não pode prevalecer por importar em supressão de uma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2026-07-27T22:53:50.231Z</dcterms:created>
  <dcterms:modified xsi:type="dcterms:W3CDTF">2026-07-27T22:53:50.231Z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