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>
      <w:r>
        <w:rPr>
          <w:b/>
          <w:bCs/>
        </w:rPr>
        <w:t xml:space="preserve">Julgado em: </w:t>
      </w:r>
      <w:r>
        <w:t xml:space="preserve">11/12/1979</w:t>
      </w:r>
    </w:p>
    <w:p/>
    <w:p>
      <w:r>
        <w:t xml:space="preserve">DESAPARECIMENTO OU REDUÇÃO DO PREJUÍZO  DO DONO — SE É EQUIPARÁVEL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Já tive oportunidade de acolher a tese do recurso e do acórdão desta Turma. - No RECr. 88.087, asseverei no voto e na ementa, por mim redigida como relator, que, "para os fins do art. 155, § 2º do Código Penal, não se identifica como pequeno valor da coisa o desaparecimento ou diminuição do prejuízo do dono em decorrência da apreensão da coisa furtada". - O caso dos presentes autos, contudo, apresenta-se sob feição especial. - O autor do furto é um pobre diabo, vadio contumaz, que perambula pelas ruas de São Paulo, e cuja longa folha de antecedentes parece constituída de prisões por falta de identidade, vadiagem e outros pequenos fatos de rua (...). - Condená-lo a pena detentiva seria positivamente um exagero. - Assim, a solução adotada pelo acórdão recorrido conquanto não deva prevalecer por seu fundamento ostensivo, pode manter-se por outra ordem de considerações. - Na verdade, sob certo aspecto, eram de pequeno valor material as coisas furtadas, atendendo a que não teriam préstimo como objetos de uso de pessoas que se vestem e ornam a cabeça de modo comum. - Não teriam significativo valor de pequeno valor. - Trata-se, pois, de caso em que considerações mais elevadas de política criminal me levam a abandonar a lógica de ferro do recurso extraordinário para, sem afastar a tese perfilhada por essa Turma, deixar de aplicá-la no caso concreto, pelas suas peculiaridades. - Conheço do recurso e lhe nego provimento. Julgado em 12-12-1979 Revista Trimestral de Jurisprudência. Junho, 1979 - Vol. 88 - Pág. 1069 EMENTÁRIO FORENSE. Junho, 1980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fins do art. 155, § 2º do Código Penal, não se identifica como pequeno valor da coisa o desaparecimento ou diminuição do prejuízo do dono em decorrência da apreensão da coisa furtada. - Caso em que, objetivamente considerado o valor da coisa, foi razoável o reconhecimento do privilégio.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2026-10-26T04:31:43.928Z</dcterms:created>
  <dcterms:modified xsi:type="dcterms:W3CDTF">2026-10-26T04:31:43.928Z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