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>
      <w:r>
        <w:rPr>
          <w:b/>
          <w:bCs/>
        </w:rPr>
        <w:t xml:space="preserve">Julgado em: </w:t>
      </w:r>
      <w:r>
        <w:t xml:space="preserve">03/11/1979</w:t>
      </w:r>
    </w:p>
    <w:p/>
    <w:p>
      <w:r>
        <w:t xml:space="preserve">CARACTERIZAÇÃO PELA SIMPLES EXIGÊNCIA DA VANTAGEM — INDEPENDÊNCIA DE RESULTADO - QUANDO A PREPARAÇÃO POLICIAL NÃO TORNA O CRIME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Relata ainda a acusação, que os réus foram presos em flagrante, (...), quando eles acabavam de receber dos lesados a vantagem indevida, que os lesados não puderam satisfazer, no momento em que, no próprio recinto da repartição policial, foram exigidas. - ................................. - ... a doutrina dominante que se extrai dos comentadores é no sentido de se ter como consumada a concussão, quando a vantagem é exigida, sendo a sua percepção, fato de exaurimento, que sobre do tipo, como um "plus", a interessar o art. 42 do Código Penal, por suas raízes nas conseqüências do crime. - .................................. - ... as censuras dos apelantes se dirigem à questão de fato, por primeiro, negando a existência do crime, na esteira da Súmula nº 145 (*) do E. Supremo Tribunal Federal, vez que no caso, trata-se de flagrante preparado. Em segundo lugar, negam a imputação delituosa, sendo este o maior cuidado do segundo apelante. - ... a decisão recorrida se oferece preciosa pela acuidade que dispensou, na análise da prova, não sem antes rebater com vantagem à tese da inexistência do crime, a qual o primeiro apelante invoca e reitera, por dispor a Súmula nº 145 "que não há crime, quando a preparação do flagrante pela polícia torna impossível a sua consumação". - Pois bem. Na hipótese que se cuida, é de se repetir, com a sentença apelada e a "comunis opinio" da doutrina que, consumada a concussão à simples exigência, o flagrante que se seguiu só diz respeito ao seu exaurimento, donde não se abrir espaço à aplicação daquela súmula. - ............................... - Pelo exposto, dá-se provimento, em parte, a ambas as apelações. Julgado em 04-11-1979 Arquivo do Ementário Forense, TJ/857 (*)"Não há crime, quando a preparação do flagrante pela polícia torna impossível a sua consumação." ("EMENTÁRIO FORENSE", Nº 192, t. CRIME EXPERIMENTAL, st. FLAGRANTE PROVOCADO) EMENTÁRIO FORENSE. Agosto, 1980. Ano XXXII. Nº 381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316 c/c o art. 68, I, do Código Penal. - A concussão é crime que independe de resultado, consumando-se com o simples exigir a vantagem indevida. A preparação policial para o seu exaurimento, não o torna crime impossível.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2026-10-26T05:56:30.358Z</dcterms:created>
  <dcterms:modified xsi:type="dcterms:W3CDTF">2026-10-26T05:56:30.358Z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