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Julgado em: </w:t>
      </w:r>
      <w:r>
        <w:t xml:space="preserve">19/02/1979</w:t>
      </w:r>
    </w:p>
    <w:p/>
    <w:p>
      <w:r>
        <w:t xml:space="preserve">COMO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dos elementos trazidos à colação, desde que o próprio inquérito policial se encontra anexado ao pedido, que o paciente, na qualidade de advogado, retirou os autos de cartório para estudo e, em razão do fato já delineado, permaneceram eles em seu escritório até que foram reclamados e evidentemente devolvidos. - Assim sendo, desde que o delito previsto no art. 356 do Código Penal somente é punível a título de dolo, dolo genérico, tem-se que o retardamento na devolução do processo, ainda que tivesse por causa a maior negligência, não podia ensejar o procedimento criminal requerido pelo zeloso Dr. Promotor Público. - Cumpre evidenciar que no crime de que se trata o objeto material do delito contém-se no fato da entrega do processo ao agente, tendo por causa a sua qualidade de advogado ou procurador. No caso o profissional retirou o processo, repita-se em razão de ter sido nomeado defensor dativo de réus, em processo crime. Evidenciado tal pressuposto legal, exige a lei então, conduta delituosa, qual seja, a retenção faltosa e a sonegação dos autos quando cobrados. Só em face de tal conduta, isto é, a não devolução em tempo hábil ou o não atendimento à solicitação feita por quem o pode fazer, é que surge o comportamento doloso, desde que a não restituição dos autos, para efeito de criminação, só pode ser erigida a título de dolo. "A negligência - como bem acentua NELSON HUNGRIA - por mais crassa, determinante do perdimento ou não restituição dos autos, documento ou objeto probatório, poderá ser contrária à ética profissional, mas não constituirá crime" ("Comentários ao Código Penal, Rio de Janeiro, 1958, vol. IX/523-524). - No mesmo sentido é o magistério de MAGALHÃES NORONHA, observado que o dolo, genérico, pressupõe a inequivocidade da conduta por conter-se na "representação, vontade e consciência da anti-juricidade do fato" ("Direito Penal", São Paulo, 1968, 3ª ed., pág. 501). - Na espécie, tal como bem esclareceram a decisão recorrida e o magnífico parecer, não se evidenciou a inequívoca antijuricidade exigida para a caracterização do delito objeto de criminação, decorrendo daí a falta de justa causa para o procedimento penal, razão pela qual nega-se provimento ao recurso. Julgado em 20-02-1979 Revista dos Tribunais. Junho, 1979 - Vol. 524 - Pág. 326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356 do Código Penal e 648, I, do Código de Processo Penal. - O delito de retenção de autos somente é punível a título de dolo (genérico). Conseqüentemente, a negligência quanto ao retardamento da devolução do processo a cartório por mais crassa que seja, não configura o crime previsto no art. 356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2026-10-26T05:21:10.039Z</dcterms:created>
  <dcterms:modified xsi:type="dcterms:W3CDTF">2026-10-26T05:21:10.039Z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