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30/06/1978</w:t>
      </w:r>
    </w:p>
    <w:p/>
    <w:p>
      <w:r>
        <w:t xml:space="preserve">FUNDAMENTAÇÃO DO DESPACHO QUE A RECEBE — QUANDO NÃO SE CONSIDERA SATISFEITA A EXIGÊNCIA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dispõe o art. 109, § 2º, da Lei de Falências, o despacho de recebimento de denúncia, em ação penal por crimes falimentares, deve ser fundamentado. - Na interpretação desse dispositivo legal instaurou-se largo dissídio na jurisprudência dos Tribunais do país, inclusive deste E. Tribunal, prevalecendo, a final, a corrente que sustentava o ponto de vista de que a falta de fundamentação do despacho mencionado acarretava nulidade processual, antes do advento da prestação jurisdicional de mérito. - Uniformizando esse entendimento jurisprudencial, o STF editou a Súmula nº 564 (*), que assim reza: "A ausência de fundamentação do despacho de recebimento de denúncia por crime falimentar enseja nulidade processual, salvo se já houver sentença condenatória". - Na hipótese, o despacho impugnado não acusa fundamentação, tanto que se limita a afirmar que o inquérito judicial e a denúncia se referem a fatos que autorizam o recebimento da peça inaugural e autorizam a instauração do processo crime. Nada mais. - ............................. - ... a nulidade "ab initio" da ação penal é manifesta, conforme bem demonstrou o impetrante, de sorte que a concessão da ordem constitui solução indeclinável na espécie. - ............................ - Em casos precedentes assim tem decidido esta C. Seção Criminal, mais recentemente, acatando a diretriz jurisprudencial do Pretório Excelso, inclusive com mudança do ponto-de-vista pessoal do Relator sobre a matéria ("Revista de Jurisprudência do TJSP" 38/215, 43/299, 48/264, 47/311, 46/279, 49/274, ed. Lex; RTJ 77/439, 80/503 e 81/72). - Por conseguinte, verificado o constrangimento ilegal, cumpre anular o processo a partir do despacho impugnado. - ......................... Julgado em 01-07-1978 VENCIDO O DESEMBARGADOR AZEVEDO FRANCESCHINI Revista dos Tribunais. Abril, 1979 - Vol. 522 - Pág. 317 (*) In "EMENTÁRIO FORENSE", Nº 340 EMENTÁRIO FORENSE. Setembro, 1980. Ano XXXII. Nº 382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109, § 2º, da Lei de Falências. - A simples afirmação judicial de que a denúncia e o inquérito relatam fatos que autorizam a propositura da ação penal não significa que a exigência legal da fundamentação do despacho foi observada. É que se impõe a exteriorização das razões pelas quais se formou o convencimento judicial sobre a viabilidade da acusação.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2026-06-17T14:02:30.674Z</dcterms:created>
  <dcterms:modified xsi:type="dcterms:W3CDTF">2026-06-17T14:02:30.674Z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