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30/06/1978</w:t>
      </w:r>
    </w:p>
    <w:p/>
    <w:p>
      <w:r>
        <w:t xml:space="preserve">FUNDAMENTAÇÃO DO DESPACHO QUE A RECEBE — QUANDO NÃO SE CONSIDERA SATISFEITA A EXIGÊNCIA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dispõe o art. 109, § 2º, da Lei de Falências, o despacho de recebimento de denúncia, em ação penal por crimes falimentares, deve ser fundamentado. - Na interpretação desse dispositivo legal instaurou-se largo dissídio na jurisprudência dos Tribunais do país, inclusive deste E. Tribunal, prevalecendo, a final, a corrente que sustentava o ponto de vista de que a falta de fundamentação do despacho mencionado acarretava nulidade processual, antes do advento da prestação jurisdicional de mérito. - Uniformizando esse entendimento jurisprudencial, o STF editou a Súmula nº 564 (*), que assim reza: "A ausência de fundamentação do despacho de recebimento de denúncia por crime falimentar enseja nulidade processual, salvo se já houver sentença condenatória". - Na hipótese, o despacho impugnado não acusa fundamentação, tanto que se limita a afirmar que o inquérito judicial e a denúncia se referem a fatos que autorizam o recebimento da peça inaugural e autorizam a instauração do processo crime. Nada mais. - ............................. - ... a nulidade "ab initio" da ação penal é manifesta, conforme bem demonstrou o impetrante, de sorte que a concessão da ordem constitui solução indeclinável na espécie. - ............................ - Em casos precedentes assim tem decidido esta C. Seção Criminal, mais recentemente, acatando a diretriz jurisprudencial do Pretório Excelso, inclusive com mudança do ponto-de-vista pessoal do Relator sobre a matéria ("Revista de Jurisprudência do TJSP" 38/215, 43/299, 48/264, 47/311, 46/279, 49/274, ed. Lex; RTJ 77/439, 80/503 e 81/72). - Por conseguinte, verificado o constrangimento ilegal, cumpre anular o processo a partir do despacho impugnado. - ......................... Julgado em 01-07-1978 VENCIDO O DESEMBARGADOR AZEVEDO FRANCESCHINI Revista dos Tribunais. Abril, 1979 - Vol. 522 - Pág. 317 (*) In "EMENTÁRIO FORENSE", Nº 340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109, § 2º, da Lei de Falências. - A simples afirmação judicial de que a denúncia e o inquérito relatam fatos que autorizam a propositura da ação penal não significa que a exigência legal da fundamentação do despacho foi observada. É que se impõe a exteriorização das razões pelas quais se formou o convencimento judicial sobre a viabilidade da acusação.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2026-10-26T04:34:44.887Z</dcterms:created>
  <dcterms:modified xsi:type="dcterms:W3CDTF">2026-10-26T04:34:44.887Z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