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01/03/1979</w:t>
      </w:r>
    </w:p>
    <w:p/>
    <w:p>
      <w:r>
        <w:t xml:space="preserve">SE É VÁLIDA A POR ELE FEITA SEM A NOTA DE "CIENTE"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Nenhum preceito legal exige, nas intimações, a nota de "ciente". Pode fazê-las o escrivão, certificando-as nos autos, como dispõe o parágrafo único do art. 370 do Código de Processo Penal. E foi como se procedeu nesse caso. - Por outro lado, correm os prazos, no processo penal, alternativamente, ou da intimação, ou da audiência ou sessão em que foi proferida a decisão, se a ela estiver presente a parte, ou, finalmente, do dia em que a parte manifestar nos autos ciência inequívoca da sentença ou despacho (CPP, art. 798, § 5º, letras "a", "b" e "c"). Ora, se houve intimação, devidamente certificada por quem podia fazê-lo, não havia por que considerar-se a manifestação de ciência, lançada em data posterior, da parte já anteriormente intimada. - Tratando-se de interposição de recurso, essas regras se aplicam ao Ministério Público, como dispõe o mesmo Código no art. 800, § 2º. - Contribui com meu voto de adesão para o acórdão divergente, mas não tenho dúvida em reconsiderá-lo nesta oportunidade. - Como já disse, conheço do recurso, mas lhe nego provimento. Julgado em 02-03-1979 Revista Trimestral de Jurisprudência. Julho, 1979 - Vol. 89 - Pág. 310 EMENTÁRIO FORENSE. Setembro, 1980. Ano XXXII. Nº 382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fazer intimação no processo penal o escrivão, certificando-as nos autos, e delas correm os prazos para interposição de recursos, inclusive para o Ministério Público, independentemente da oposição de nota de "ciente".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2026-06-17T14:04:12.852Z</dcterms:created>
  <dcterms:modified xsi:type="dcterms:W3CDTF">2026-06-17T14:04:12.852Z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