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AUSÊNCIA DO ADVOGADO E DA PARTE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Julgado em: </w:t>
      </w:r>
      <w:r>
        <w:t xml:space="preserve">22/03/1979</w:t>
      </w:r>
    </w:p>
    <w:p/>
    <w:p>
      <w:r>
        <w:t xml:space="preserve">RÉU PRESO — NECESSIDADE DE QUE SEJA FEITA A ESTE E A SEU PATRONO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Decidiu esta Turma, no RHC 56.443, relator o Ministro MOREIRA ALVES, que "não basta a intimação da sentença ao réu preso para que comece a fluir o prazo de interposição da apelação, sendo necessária também a de seu defensor dativo ou constituído". - A esse entendimento se chegou pela interpretação dos dispositivos legais à luz do princípio da ampla defesa, inscrito no art. 153, § 15, da Constituição. - É o caso dos autos. O réu, apresentado preso ao Juízo, foi cientificado da sentença em 11 de maio, quando declarou que desejava apelar. - Seu defensor constituído apelou em petição datada de 16, o que a situaria dentro do prazo de 5 dias. - Mas a petição recebeu despacho do juiz com data de 17, o que a colocou, para o acórdão de segundo grau, em situação de intempestividade. - Não consta, porém, tenha sido o defensor também intimado da sentença condenatória, nem mesmo cientificado da intimação feita a seu constituinte. - Adotando os fundamentos do parecer, e do acórdão nele referido e neste voto mencionado, defiro a ordem, para que, retornando os autos da apelação do paciente à 2ª Câmara Criminal do Tribunal de Alçada do Rio de Janeiro, decida esta o mérito da apelação. Julgado em 23-03-1979 Revista Trimestral de Jurisprudência. Setembro, 1979 - Vol. 89 - Pág. 814 EMENTÁRIO FORENSE. Setembro, 1980. Ano XXXII. Nº 382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basta a intimação da sentença ao réu preso para que comece a fluir o prazo de interposição da apelação, sendo necessária também a de seu defensor dativo ou constituído.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2026-09-10T22:40:46.518Z</dcterms:created>
  <dcterms:modified xsi:type="dcterms:W3CDTF">2026-09-10T22:40:46.518Z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