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03. ESTATUTO DE ROMA DO TRIBUNAL PENAL INTERNACIONAL — PROMULGA</w:t>
      </w:r>
    </w:p>
    <w:p/>
    <w:p>
      <w:pPr>
        <w:pStyle w:val="Heading2"/>
      </w:pPr>
      <w:r>
        <w:rPr>
          <w:b/>
          <w:bCs/>
        </w:rPr>
        <w:t xml:space="preserve">Ementa</w:t>
      </w:r>
    </w:p>
    <w:p>
      <w:r>
        <w:t xml:space="preserve">Artigo 31 Causas de Exclusão da Responsabilidade Criminal Sem prejuízo de outros fundamentos para a exclusão de responsabilidade criminal previstos no presente Estatuto, não será considerada criminalmente responsável a pessoa que, no momento da prática de determinada conduta: a) Sofrer de enfermidade ou deficiência mental que a prive da capacidade para avaliar a ilicitude ou a natureza da sua conduta, ou da capacidade para controlar essa conduta a fim de não violar a lei; b) Estiver em estado de intoxicação que a prive da capacidade para avaliar a ilicitude ou a natureza da sua conduta, ou da capacidade para controlar essa conduta a fim de não transgredir a lei, a menos que se tenha intoxicado voluntariamente em circunstâncias que lhe permitiam ter conhecimento de que, em conseqüência da intoxicação, poderia incorrer numa conduta tipificada como crime da competência do Tribunal, ou, de que haveria o risco de tal suceder; c) Agir em defesa própria ou de terceiro com razoabilidade ou, em caso de crimes de guerra, em defesa de um bem que seja essencial para a sua sobrevivência ou de terceiro ou de um bem que seja essencial à realização de uma missão militar, contra o uso iminente e ilegal da força, de forma proporcional ao grau de perigo para si, para terceiro ou para os bens protegidos. O fato de participar em uma força que realize uma operação de defesa não será causa bastante de exclusão de responsabilidade criminal, nos termos desta alínea; d) Tiver incorrido numa conduta que presumivelmente constitui crime da competência do Tribunal, em conseqüência de coação decorrente de uma ameaça iminente de morte ou ofensas corporais graves para si ou para outrem, e em que se veja compelida a atuar de forma necessária e razoável para evitar essa ameaça, desde que não tenha a intenção de causar um dano maior que aquele que se propunha evitar. Essa ameaça tanto poderá: i) Ter sido feita por outras pessoas; ou ii) Ser constituída por outras circunstâncias alheias à sua vontade. 2. O Tribunal determinará se os fundamentos de exclusão da responsabilidade criminal previstos no presente Estatuto serão aplicáveis no caso em apreço. 3. No julgamento, o Tribunal poderá levar em consideração outros fundamentos de exclusão da responsabilidade criminal; distintos dos referidos no parágrafo 1o, sempre que esses fundamentos resultem do direito aplicável em conformidade com o artigo 21. O processo de exame de um fundamento de exclusão deste tipo será definido no Regulamento Processual. Artigo 32 Erro de Fato ou Erro de Direito 1. O erro de fato só excluirá a responsabilidade criminal se eliminar o dolo requerido pelo crime. 2. O erro de direito sobre se determinado tipo de conduta constitui crime da competência do Tribunal não será considerado fundamento de exclusão de responsabilidade criminal. No entanto, o erro de direito poderá ser considerado fundamento de exclusão de responsabilidade criminal se eliminar o dolo requerido pelo crime ou se decorrer do artigo 33 do presente Estatuto. Artigo 33 Decisão Hierárquica e Disposições Legais 1. Quem tiver cometido um crime da competência do Tribunal, em cumprimento de uma decisão emanada de um Governo ou de um superior hierárquico, quer seja militar ou civil, não será isento de responsabilidade criminal, a menos que: a) Estivesse obrigado por lei a obedecer a decisões emanadas do Governo ou superior hierárquico em questão; b) Não tivesse conhecimento de que a decisão era ilegal; e c) A decisão não fosse manifestamente ilegal. 2. Para os efeitos do presente artigo, qualquer decisão de cometer genocídio ou crimes contra a humanidade será considerada como manifestamente ilegal. Capítulo IV Composição e Administração do Tribunal Artigo 34 Ór gãos do Tribunal O Tribunal será composto pelos seguintes órgãos: a) A Presidência; b) Uma Seção de Recursos, uma Seção de Julgamento em Primeira Instância e uma Seção de Instrução; c) O Gabinete do Procurador; d) A Secretaria. Artigo 35 Exercício das Funções de Juiz 1. Os juízes serão eleitos membros do Tribunal para exercer funções em regime de exclusividade e deverão estar disponíveis para desempenhar o respectivo cargo desde o início do seu mandato. 2. Os juízes que comporão a Presidência desempenharão as suas funções em regime de exclusividade desde a sua eleição. 3. A Presidência poderá, em função do volume de trabalho do Tribunal, e após consulta dos seus membros, decidir periodicamente em que medida é que será necessário que os restantes juízes desempenhem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2026-07-28T01:50:37.377Z</dcterms:created>
  <dcterms:modified xsi:type="dcterms:W3CDTF">2026-07-28T01:50:37.377Z</dcterms:modified>
</cp:coreProperties>
</file>

<file path=docProps/custom.xml><?xml version="1.0" encoding="utf-8"?>
<Properties xmlns="http://schemas.openxmlformats.org/officeDocument/2006/custom-properties" xmlns:vt="http://schemas.openxmlformats.org/officeDocument/2006/docPropsVTypes"/>
</file>