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Recurso: </w:t>
      </w:r>
      <w:r>
        <w:t xml:space="preserve">Resp 86.581-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>
      <w:r>
        <w:rPr>
          <w:b/>
          <w:bCs/>
        </w:rPr>
        <w:t xml:space="preserve">Julgado em: </w:t>
      </w:r>
      <w:r>
        <w:t xml:space="preserve">29/05/1997</w:t>
      </w:r>
    </w:p>
    <w:p/>
    <w:p>
      <w:r>
        <w:t xml:space="preserve">REVISÃO CRIMINAL — DECISÃO CONDENATÓRIA - CONTRARIEDADE - PROVA - NÃO-CONFIGURAÇÃO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REVISÃO CRIMINAL - DECISÃO CONDENATÓRIA - CONTRARIEDADE - PROVA - NÃO-CONFIGURAÇÃO. Impõe-se o indeferimento do pedido revisional fundado na alegação de que a decisão condenatória seria contrária à evidência dos autos do processo-crime, se a prova contida em seu bojo é segura no sentido da culpabilidade do réu, mesmo quando a convicção do magistrado é formada pelos indícios, que possuem o mesmo valor da prova considerada direta. Se o crime de estupro for cometido sem que acarrete à vítima lesão corporal de natureza grave, mesmo nos casos de violência presumida, deixará de pertencer à categoria dos crimes hediondos previstos na Lei 8.072/90 e, nestas condições, autoriza-se a progressão do regime prisional, conforme entendimento sufragado pelo Excelso Pretório. REVISÃO CRIMINAL Nº 000.231.515-8/00 - COMARCA DE SÃO GOTARDO - PETICIONÁRIO(S): BRÍCIO HARLEY SANTOS - RELATOR: EXMO. SR. DES. REYNALDO XIMENES CARNEIRO Vistos etc., acorda o GRUPO DE CÂMARAS CRIMINAIS do Tribunal de Justiça do Estado de Minas Gerais, incorporando neste o relatório de fls., na conformidade da ata dos julgamentos e das notas taquigráficas, à unanimidade de votos, EM DEFERIR PARCIALMENTE O PEDIDO. Belo Horizonte, 10 de setembro de 2001. DES. REYNALDO XIMENES CARNEIRO - Relator NOTAS TAQUIGRÁFICAS O SR. DES. REYNALDO XIMENES CARNEIRO: VOTO Trata-se de Revisão Criminal ajuizada por BRÍCIO HARLEY SANTOS, objetivando-se a desconstituição da decisão confirmatória de sua condenação à pena de 06 (seis) anos de reclusão, em regime fechado, pela prática do crime de estupro, de molde a que seja declarada a sua absolvição, nos termos do art. 386, VI, do CPP, sob o fundamento básico de que a condenação se apresentaria desvinculada das provas constantes dos autos, notadamente em face de ter constado do laudo pericial a ausência de sinais de agressão, não sendo a vítima, por outro lado, virgem, o que por si só não teria o condão de afastar a prá tica delitiva, mas levando- se em consideração que mantivera relações sexuais num período de oito meses, com pelo menos dez homens diferentes, no mínimo tal circunstância demonstraria a sua leviandade, a conduzir à inocência do peticionário. A defesa trouxe aos autos os documentos de fls. 09/44-TJ. O acórdão rescindendo de fls. 193/201-TJ (autos originais) transitou livremente em julgado em 30/05/97, conforme certidão de fls. 206-TJ (autos originais). A d. Procuradoria de Justiça, instada a se manifestar, pronunciou-se pelo conhecimento e pelo indeferimento do pedido revisional (fls. 58/62-TJ). É o breve relatório. Passo a decidir. Pretende o peticionário, com amparo no art. 621, I, do CPP, a revisão do processo-crime, em razão do qual fora condenado a 06 (seis) anos de reclusão, em regime fechado, pela prática dos crime de estupro, sob o fundamento básico de que não existiriam nos autos provas suficientes o bastante a amparar o decreto condenatório. Inicialmente, cumpre salientar que o pressuposto primordial da revisão, qual seja, a existência de um processo criminal com sentença condenatória trânsita em julgado se faz presente, à vista da certidão de fls 206-TJ (autos originais), pelo que o conhecimento do mérito da quaestio é impositivo. Com efeito, é cediço que o princípio de que a res judicata seria intangível não é de todo absoluto, uma vez que é lícito ao condenado ou ao seu procurador legalmente habilitado, nos termos do art. 623 do CPP, promover a revisão criminal para o fim de se corrigir uma condenação que, em tese, revelou-se injusta, restaurando- se, assim, com a rescisão do julgado, o status dignitatis do condenado. Todavia, após uma acurada análise de todo o contexto probatório trazido aos autos do processo criminal, cujo apensamento fora determinado, conclui-se que razão alguma socorre ao peticionário, à medida em que não se verifica a alegada deficiência do extenso acervo probatório trazido aos autos, senão veja-se. Quanto à materialidade, há que se salientar que a despeito de não ter o i. expert constatado, quando da realização do Exame de Corpo de Delito, a ocorrência de sinais físicos de agressão, inclusive pela conclusão de que a vítima já não era mais virgem, entendo que tal fato, por si só, não afasta a conclusão de que o crime contra os costumes tivesse realmente ocorrido, posto que é possível extrair-se da referida perícia, em primeiro lugar, que houve conjunção carnal e, em segundo, que apesar de não portar a vítima sinais aparentes de violência, encontrava-se abalada emociona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2026-10-26T02:22:32.389Z</dcterms:created>
  <dcterms:modified xsi:type="dcterms:W3CDTF">2026-10-26T02:22:32.389Z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