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11/05/1987</w:t>
      </w:r>
    </w:p>
    <w:p/>
    <w:p>
      <w:r>
        <w:t xml:space="preserve">EXAME PERICIAL — QUAL O QUE SERVE PARA O INÍCIO DO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Recorrido sofreu lesão típica e traumática em 25 de maio de 1977 (amputação do 3º e do 4º dedos da mão esquerda). - Foi submetido à perícia, no Instituto, em 11 de agosto do mesmo ano de 1977. - A ação só foi ajuizada em 2 de agosto de 1984. - A Súmula 230, deste Tribunal, não distingue, como termo inicial do curso da prescrição, a perícia judicial daquela realizada no âmbito da previdência social e a natureza do acidente exclui a possibilidade de que a verificação do nexo causal se ache diferida para ocasião ulterior. - Conheço do Recurso e dou-lhe provimento, para julgar prescrita a ação. Julgado em 12-05-1987 Arquivo do STF - DJ 05-06-87 - Ementário nº 1.464-3 Arquivo do EMFOR, STF/77 (*) «A prescrição da ação de acidente de trabalho conta-se do exame pericial que comprovar a enfermidade ou verificar a natureza da incapacidade.» («EMENTÁRIO FORENSE, Nº 194).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230 (*) não distingue, como termo inicial do curso da prescrição, a perícia judicial daquela realizada no âmbito da previdência social. (Do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2026-10-26T02:13:59.099Z</dcterms:created>
  <dcterms:modified xsi:type="dcterms:W3CDTF">2026-10-26T02:13:59.099Z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