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FÓRUM PERMANENTE</w:t>
      </w:r>
    </w:p>
    <w:p/>
    <w:p/>
    <w:p>
      <w:r>
        <w:t xml:space="preserve">01. ENUNCIADOS DO I ENCONTRO DE MAGISTRADOS DE JUIZADOS ESPECIAIS CRIMINAIS (RS)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DO I ENCONTRO DE MAGISTRADOS DE JUIZADOS ESPECIAIS CRIMINAIS (RS) Enunciado n° 1 A partir da vigência da Lei nº 10.259/01, todos os crimes cuja pena máxima não exceda de dois anos serão considerados de menor potencial ofensivo, excetuados aqueles sujeitos a procedimento especial, sendo direito subjetivo do réu, nestes últimos, as medidas despenalizadoras, independentemente do juízo em que estejam sendo processados. (Aprovado por maioria). Enunciado n° 2 O descumprimento da transação penal acarreta o prosseguimento do feito. (Aprovado por maioria). Enunciado nº 3 O descumprimento da transação não enseja qualquer anotação na certidão de antecedentes. (Aprovado por unanimidade). Enunciado nº 4 O cumprimento da PSC transacionada deve dar-se perante o próprio Juizado Especial Criminal. (Aprovado por maioria). Enunciado nº 5 Inconveniente e ilegítima a transação cujo conteúdo reverta, direta ou indiretamente, em benefício do Poder Judiciário ou do Foro local. (Aprovado por unanimidade). Enunciado nº 6 O recrutamento de Conciliadores para atuação, sem remuneração, nos Juizados Especiais Criminais independe de lei específica, com amparo nos 60 e 73 da Lei 9.09/95 e art. 98, I da Constituição Federal. (Aprovado por unanimidade). Enunciado nº 7 O início do prazo decadencial do direito de representação flui a partir da data do conhecimento da autoria do fato, pela vítima, aplicando-se, subsidiariamente, o disposto no art. 38 do Código de Processo Penal. (Aprovado por maioria). Enunciado nº 8 É considerada válida a representação ofertada perante a autoridade policial, desde que ratificada em juízo. (Aprovado por maioria). Enunciado nº 9 Sendo atípico o fato narrado na ocorrência policial, o Juiz poderá determinar o arquivamento, mesmo ante a discordância do Ministério Público. (Aprovado por maioria). Posição Unânime - Inaplicação do Enunciado 44 do FONAJE, por tratar-se de pretensão punitiva e não exec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2026-10-26T03:26:11.424Z</dcterms:created>
  <dcterms:modified xsi:type="dcterms:W3CDTF">2026-10-26T03:26:11.424Z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