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Recurso: </w:t>
      </w:r>
      <w:r>
        <w:t xml:space="preserve">RE 86.829</w:t>
      </w:r>
    </w:p>
    <w:p/>
    <w:p>
      <w:r>
        <w:t xml:space="preserve">SE ESTÁ DESVINCULADA DO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 nos termos do pedido. - Fixou-se a jurisprudência desta Corte no sentido de que a Lei nº 6.205, de 29-04-75, é inaplicável em matéria de sanção penal, como se verifica dos julgados nos RR.EE. nsº 84.355 - SC, 2ª Turma, relator Ministro MOREIRA ALVES; RE nº 86.829 - RJ, 2ª Turma, relator Ministro XAVIER DE ALBUQUERQUE; RE nº 86.677 - RJ, 1ª Turma, relator Ministro BILAC PINTO; RE nº 86.676 - RJ, 1ª Turma, relator Ministro RODRIGUES ALCKMIN. Julgada em 03-03-1978 Revista Trimestral de Jurisprudência. Novembro, 1978 - Vol. 86 - Pág. 718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desvinculou a pena pecuniária do salário mínimo, e muito menos a extinguiu, a lei nº 6.205, de 29-04-75, que tem fins econômicos e não guarda pertinência com sanção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2026-07-28T02:13:20.857Z</dcterms:created>
  <dcterms:modified xsi:type="dcterms:W3CDTF">2026-07-28T02:13:20.857Z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