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VIOLAÇÃO DE CORRESPONDÊNCIA</w:t>
      </w:r>
    </w:p>
    <w:p>
      <w:r>
        <w:rPr>
          <w:i/>
          <w:iCs/>
          <w:color w:val="666666"/>
        </w:rPr>
        <w:t xml:space="preserve">ABUSO DE AUTORIDADE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17/11/1977</w:t>
      </w:r>
    </w:p>
    <w:p/>
    <w:p>
      <w:r>
        <w:t xml:space="preserve">IMPETRAÇÃO DAQUELA EM LUGAR DESTE — SE IMPEDE O JULGAMENTO E A CONCESSÃO DA MEDIDA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Autor da presente ação liberatória devia postular o seu direito por meio de recurso ordinário de "habeas corpus"; é o que exprime o artigo 119, II, "c", da Constituição, norma que não permite pela petição, ou ação, de tal medida. - O pormenor, contudo, não tem relevância, porque o STF tem por firma a sua orientação de que, seja no caso da petição de "habeas corpus", quer se trate do recurso de tal medida, pode a Corte conhecer oficiosamente da matéria, e, da mesma forma, conceder a ordem postulada. - Vê-se que a estranheza que se lê no parecer acima transcrito, da il, Procuradoria-Geral da República, não tem a mais mínima pertinência. - Trata-se de uma reação extravagante, nada mais, nada menos que isto. - Conheço, "ex officio", do pedido, e, de igual modo, concedo o "habeas corpus" nos termos e para os fins de que trata liminar, agora confirmada. Julgado em 18-11-1977 Revista Trimestral de Jurisprudência. Maio, 1978 - Vol. 84 - Pág. 438 EMENTÁRIO FORENSE. Janeiro, 1979. Ano XXXI. Nº 362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Embora se trate de caso de recurso de "habeas corpus", em regra insubstituível por petição de "habeas corpus" (Constituição, artigo 119, II, "c"), a Corte conhece oficiosamente do caso para, de igual modo, conceder a medida.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2026-10-26T02:35:39.074Z</dcterms:created>
  <dcterms:modified xsi:type="dcterms:W3CDTF">2026-10-26T02:35:39.074Z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