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VIOLAÇÃO DE CORRESPONDÊNCIA</w:t>
      </w:r>
    </w:p>
    <w:p>
      <w:r>
        <w:rPr>
          <w:i/>
          <w:iCs/>
          <w:color w:val="666666"/>
        </w:rPr>
        <w:t xml:space="preserve">ABUSO DE AUTORIDADE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17/11/1977</w:t>
      </w:r>
    </w:p>
    <w:p/>
    <w:p>
      <w:r>
        <w:t xml:space="preserve">IMPETRAÇÃO DAQUELA EM LUGAR DESTE — SE IMPEDE O JULGAMENTO E A CONCESSÃO DA MEDIDA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da presente ação liberatória devia postular o seu direito por meio de recurso ordinário de "habeas corpus"; é o que exprime o artigo 119, II, "c", da Constituição, norma que não permite pela petição, ou ação, de tal medida. - O pormenor, contudo, não tem relevância, porque o STF tem por firma a sua orientação de que, seja no caso da petição de "habeas corpus", quer se trate do recurso de tal medida, pode a Corte conhecer oficiosamente da matéria, e, da mesma forma, conceder a ordem postulada. - Vê-se que a estranheza que se lê no parecer acima transcrito, da il, Procuradoria-Geral da República, não tem a mais mínima pertinência. - Trata-se de uma reação extravagante, nada mais, nada menos que isto. - Conheço, "ex officio", do pedido, e, de igual modo, concedo o "habeas corpus" nos termos e para os fins de que trata liminar, agora confirmada. Julgado em 18-11-1977 Revista Trimestral de Jurisprudência. Maio, 1978 - Vol. 84 - Pág. 438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 trate de caso de recurso de "habeas corpus", em regra insubstituível por petição de "habeas corpus" (Constituição, artigo 119, II, "c"), a Corte conhece oficiosamente do caso para, de igual modo, conceder a medida.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2026-07-28T00:00:25.408Z</dcterms:created>
  <dcterms:modified xsi:type="dcterms:W3CDTF">2026-07-28T00:00:25.408Z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