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Julgado em: </w:t>
      </w:r>
      <w:r>
        <w:t xml:space="preserve">26/12/1978</w:t>
      </w:r>
    </w:p>
    <w:p/>
    <w:p>
      <w:r>
        <w:t xml:space="preserve">MOTIVO DE RELEVANTE VALOR SOCIAL OU MORAL — DISTINÇÃO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DO PROCURADOR DA JUSTIÇA - Inexiste contradição no fato de ter o Júri repelido a tese defensiva da prática do crime sob o domínio de violenta emoção, enquanto admitiu a atenuante do motivo de relevante valor moral. A emoção-choque, que autorizaria o reconhecimento do homicídio como "privilegiado" (Código Penal, art. 121, § 1º), não se confunde com a motivação decorrente de um mero sentimento, ainda que seja daquela relevância (Código Penal, art. 48, IV, "a"). Observe-se, aliás, que, na oportunidade legal, não foi argüida nulidade a respeito (Código de Processo Penal, art. 571, VIII; ata do julgamento,...). - ......................................... - Em tais condições, opina a Procuradoria da Justiça no sentido do desprovimento do apelo. Julgado em 27-12-1978 VENCIDO O DESEMBARGADOR ALCIDES CARLOS VENTURA Arquivo do Ementário Forense. TJ/710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privilégio do parágrafo 1º do artigo 121 (agente impelido a cometer o crime "sob o domínio de violenta emoção, logo em seguida a injusta provocação da vítima") não se confunde com a atenuante genérica do artigo 48, IV, a (ter o agente cometido o crime por motivo de relevante valor social ou moral).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2026-07-28T01:48:04.986Z</dcterms:created>
  <dcterms:modified xsi:type="dcterms:W3CDTF">2026-07-28T01:48:04.986Z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