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SEGURIDADE SOCIAL</w:t>
      </w:r>
    </w:p>
    <w:p>
      <w:r>
        <w:rPr>
          <w:i/>
          <w:iCs/>
          <w:color w:val="666666"/>
        </w:rPr>
        <w:t xml:space="preserve">EXTINÇÃO DA PUNIBILIDADE</w:t>
      </w:r>
    </w:p>
    <w:p/>
    <w:p>
      <w:r>
        <w:rPr>
          <w:b/>
          <w:bCs/>
        </w:rPr>
        <w:t xml:space="preserve">Julgado em: </w:t>
      </w:r>
      <w:r>
        <w:t xml:space="preserve">26/12/1978</w:t>
      </w:r>
    </w:p>
    <w:p/>
    <w:p>
      <w:r>
        <w:t xml:space="preserve">MOTIVO DE RELEVANTE VALOR SOCIAL OU MORAL — DISTINÇÃO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PARECER DO PROCURADOR DA JUSTIÇA - Inexiste contradição no fato de ter o Júri repelido a tese defensiva da prática do crime sob o domínio de violenta emoção, enquanto admitiu a atenuante do motivo de relevante valor moral. A emoção-choque, que autorizaria o reconhecimento do homicídio como "privilegiado" (Código Penal, art. 121, § 1º), não se confunde com a motivação decorrente de um mero sentimento, ainda que seja daquela relevância (Código Penal, art. 48, IV, "a"). Observe-se, aliás, que, na oportunidade legal, não foi argüida nulidade a respeito (Código de Processo Penal, art. 571, VIII; ata do julgamento,...). - ......................................... - Em tais condições, opina a Procuradoria da Justiça no sentido do desprovimento do apelo. Julgado em 27-12-1978 VENCIDO O DESEMBARGADOR ALCIDES CARLOS VENTURA Arquivo do Ementário Forense. TJ/710 EMENTÁRIO FORENSE. Junho, 1979. Ano XXXI. Nº 367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privilégio do parágrafo 1º do artigo 121 (agente impelido a cometer o crime "sob o domínio de violenta emoção, logo em seguida a injusta provocação da vítima") não se confunde com a atenuante genérica do artigo 48, IV, a (ter o agente cometido o crime por motivo de relevante valor social ou moral). (Trecho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2026-10-26T03:40:32.901Z</dcterms:created>
  <dcterms:modified xsi:type="dcterms:W3CDTF">2026-10-26T03:40:32.901Z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