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SEGURIDADE SOCIAL</w:t>
      </w:r>
    </w:p>
    <w:p>
      <w:r>
        <w:rPr>
          <w:i/>
          <w:iCs/>
          <w:color w:val="666666"/>
        </w:rPr>
        <w:t xml:space="preserve">EXTINÇÃO DA PUNIBILIDADE</w:t>
      </w:r>
    </w:p>
    <w:p/>
    <w:p>
      <w:r>
        <w:rPr>
          <w:b/>
          <w:bCs/>
        </w:rPr>
        <w:t xml:space="preserve">Julgado em: </w:t>
      </w:r>
      <w:r>
        <w:t xml:space="preserve">10/10/1977</w:t>
      </w:r>
    </w:p>
    <w:p/>
    <w:p>
      <w:r>
        <w:t xml:space="preserve">EXAME DE ASSINATURAS — FALTA - QUANDO PODE SER FEITA DURANTE A INSTRUÇÃO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Os crimes por que responde o paciente, são os de falsificação de documento público e estelionato. - Com respeito ao segundo dos crimes, já decidiram as Egrégias Câmaras Criminais Conjuntas do Egrégio Tribunal de Justiça de São Paulo: "Estelionato. Delito configurado. Desnecessidade, para tanto, de exame pericial, bastando a prova testemunhal. Habeas-corpus denegado. O crime de estelionato não exige exame de corpo de delito para ser provado. As manobras fraudulentas, o uso de documentos para iludir a boa fé alheia podem ser provados por testemunhas" (Rev. Tribs., 388, 201). - Realmente ao primeiro, a perícia diz respeito ao exame gráfico das assinaturas apostas no documento ..., mas tal medida não se constitui em corpo de delito. - Trata-se, em verdade, de matéria de defesa, que, embora aconselhável, a sua ausência não contamina de vício insanável o processo, e poderá ser efetivada no decorrer da instrução criminal. Julgado em 11-10-1977 Jurisprudência Catarinense - 4ª Trimestre de 1977 - Nº XVIII - Pág. 302 EMENTÁRIO FORENSE. Março, 1979. Ano XXXI. Nº 364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crime de estelionato, dispensa-se o exame de corpo de delito para sua prova, uma vez que se possa alcançar esta, por intermédio de testemunhas. - Na falsificação de documento público, a perícia diz respeito ao exame gráfico das assinaturas ... cuja ausência não contamina de vício insanável o processo, pois poderá ser efetivada no decorrer da instrução criminal.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2026-07-27T23:47:41.363Z</dcterms:created>
  <dcterms:modified xsi:type="dcterms:W3CDTF">2026-07-27T23:47:41.363Z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