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04/10/1978</w:t>
      </w:r>
    </w:p>
    <w:p/>
    <w:p>
      <w:r>
        <w:t xml:space="preserve">PRÁTICA DE ATO IRREGULAR PARA ATENDER A INTERESSE DA FAZENDA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 Vê-se das declarações prestadas pelo soldado. B, que este, diante do extravio da arma que portava, quando se deslocava para o seu posto de serviço em um auto-choque, comunicou o fato ao oficial-de-dia, sendo, então, conduzido à presença do Cel. Comandante, ora primeiro recorrido. Este liberou a praça "para que tentasse recuperar a arma, dando-lhe um prazo de 48 horas"... - O que ocorreu daí por diante, segundo a narrativa do segundo recorrido, foi que, não tendo encontrado a arma da corporação, ofereceu uma idêntica, de sua propriedade, em substituição, no que obteve a anuência do seu comandante. - Ora diante do extravio culposo, a reposição de arma idêntica somente atendia ao interesse da corporação pois, por aquela forma ficava reparado, antes, evitando o dano. - ......................................... - Como assinala MAGALHÃES DRUMOND "A prevaricação consiste essencialmente no fato de espontaneamente o funcionário se desgarrar do sentido de finalidade pública que deve ser a de toda sua vida funcional, para, no caso, em vez disto, ter a sua ação norteada para o que se lhe afigura o seu interesse ou lhe pareça condizente com sentimento seu pessoal" (Comentários ao Código Penal, Vol. IX, pág. 302, Forense, 1944). - Outra não é a lição do festejado BENTO DE FARIA, ao examinar o artigo 319 do Código Penal comum: - a) - levado pelo interesse (dolo específico) de qualquer natureza; - b) - ou por sentimento pessoal: afeição, ódio, vingança, etc. - A divergência política não basta, por si, para constituir elemento do crime. (Re vista de Jurisprudência (GABAGLIA), XV, pág. 240). -É mister sempre o propósito deliberado, a intenção direta, e assim, o erro ou a simples negligência apenas, poderão determinar a responsabilidade civil ou legitimar sanções de outra natureza (V.: MANZINI - op. cit., V, pág. 247). - O simples retardamento de ato de ofício não configura a prevaricação sendo mister que o móvel da ação seja a satisfação de interesse ou sentimento pessoal. (Revista dos Tribunais, Vol. 175, pág. 509). - Sem o dolo (interesse e sentimento pessoal), sem o propósito deliberado, a intenção direta - o erro, a simples negligência, apenas poderão determinar a responsabilidade civil, ou legitimar sanções de outra natureza (Supremo Tribunal Federal, Revista Forense, Vol. 120, pág. 537). (Código Penal Brasileiro comentado, pág. 111, Dist. Record, 1959). - Falta, pois, a caracterização do crime de prevaricação, o elemento subjetivo, no caso dolo específico, qual seja o retardamento do ato de ofício para atender a interesse ou sentimento pessoal. - Registra-se por último que, nem mesmo a regravação da arma entregue pelo soldado, em reposição, efetuada sem a ciência do primeiro recorrido, caracteriza crime pois não se trata aí de falsificação de documento. Julgado em 05-10-1978 Arquivo do Ementário Forense, TJ/636 EMENTÁRIO FORENSE,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caracteriza a prevaricação, quer como crime comum, quer como crime militar, é o retardamento de ato de ofício para atender a interesse pessoal. - A prática de ato por forma irregular, ou o seu retardamento, como o fito de atender ao interesse de Fazenda, pode constituir, quando muito, simples infração disciplinar.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2026-10-26T03:45:35.109Z</dcterms:created>
  <dcterms:modified xsi:type="dcterms:W3CDTF">2026-10-26T03:45:35.109Z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