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19/12/1977</w:t>
      </w:r>
    </w:p>
    <w:p/>
    <w:p>
      <w:r>
        <w:t xml:space="preserve">QUANDO OCORRE NO LOCAL EM QUE A VÍTIMA FOI ENGANADA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paciente, em decisão transitada em julgado, foi condenado como incurso no art. 304, como art. 297, § 2º do Código Penal, delito este ocorrido em Campinas, onde o agente, servindo-se de um cheque de emissão de pessoa inexistente, com visto falso, logrou adquirir um veículo de G.F.. - Não se trata à evidência, do delito de emissão de cheque sem suficiente provisão de fundos, hipóteses em que, consoante a Súmula nº 521 (*) do Pretório Excelso, é competente o foro do local onde se dá a recusa do pagamento. - Aliás, nem seria possível, no âmbito do "habeas corpus", alterar a classificação da sentença. - Por último, ainda que se pudesse, no caso, de acordo com certa orientação jurisprudencial, capitular o fato como estelionato comum, o certo é que, não se cuidando especificamente de emissão de cheque sem fundos, o delito se consumará no lugar onde, mediante o ardil empregado foi a vítima ludibriada. Em hipótese assemelhada assim decidiu o STF em aresto de que foi relator o eminente Min. CORDEIRO GUERRA (recurso de "habeas corpus" nº 54.460 - SP, in DJU de 08-07-1976). - Nenhum pois, o constrangimento ilegal alegado. Julgado em 20-12-1977 Revista dos Tribunais. Julho, 1978 - Vol. 513 - Pág. 348 (*)"O foro competente para o processo e julgamento dos crimes de estelionato, sob a modalidade da emissão dolosa de cheque sem provisão de fundos, e o do local onde se deu a recusa do pagamento pelo sacado." ("E.F.", Nº 255, st. COMPETÊNCIA).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cuidando especificamente da emissão de cheque sem fundos, o delito de estelionato se consuma no lugar onde, mediante o ardil empregado, a vítima foi ludibriada.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2026-07-27T23:50:58.202Z</dcterms:created>
  <dcterms:modified xsi:type="dcterms:W3CDTF">2026-07-27T23:50:58.202Z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